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1E2D">
      <w:pPr>
        <w:ind w:right="19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9100820" cy="9810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6324" cy="98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881BA15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30 от 23.07.2025</w:t>
      </w:r>
    </w:p>
    <w:p w14:paraId="588B631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</w:p>
    <w:p w14:paraId="41F71D12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СОВЕТ ДЕПУТАТОВ</w:t>
      </w:r>
    </w:p>
    <w:p w14:paraId="7CE43993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ШУРЫГИНСКОГО СЕЛЬСОВЕТА</w:t>
      </w:r>
    </w:p>
    <w:p w14:paraId="18685844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ЧЕРЕПАНОВСКОГО РАЙОНА</w:t>
      </w:r>
    </w:p>
    <w:p w14:paraId="2DFB9642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НОВОСИБИРСКОЙ  ОБЛАСТИ</w:t>
      </w:r>
    </w:p>
    <w:p w14:paraId="7D594A62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(шестого созыва)</w:t>
      </w:r>
    </w:p>
    <w:p w14:paraId="1300245E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5D4C349">
      <w:pPr>
        <w:tabs>
          <w:tab w:val="center" w:pos="4961"/>
          <w:tab w:val="center" w:pos="5312"/>
          <w:tab w:val="left" w:pos="8660"/>
          <w:tab w:val="left" w:pos="9225"/>
        </w:tabs>
        <w:ind w:left="0" w:firstLine="0"/>
        <w:jc w:val="center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 Е Ш Е Н И Е</w:t>
      </w:r>
    </w:p>
    <w:p w14:paraId="28E018FC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(шестьдесят седьмой сессии)                </w:t>
      </w:r>
    </w:p>
    <w:p w14:paraId="46D693FC">
      <w:pPr>
        <w:ind w:left="0" w:firstLine="0"/>
        <w:jc w:val="lef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от 22.07.2025г                                                                                                               №1</w:t>
      </w:r>
    </w:p>
    <w:p w14:paraId="52085328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 внесении изменений в решение пятьдесят восьмой сессии от 25.12.2024 г № 1 «О бюджете Шурыгинского 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2025 год и плановый период 2026 и 2027 годов» (изменениями, внесенными решениями Совета депутатов Шурыгинского сельсовета Черепановского района Новосибирской области от 05.02.2024 № 2, 11.04.2025 №1, 23.05.2025 №1, 24.06.2025 №1)</w:t>
      </w:r>
    </w:p>
    <w:p w14:paraId="35743A27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633C829">
      <w:pPr>
        <w:spacing w:after="0" w:line="240" w:lineRule="auto"/>
        <w:ind w:left="0" w:firstLine="708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Руководствуясь Уставом Шурыгинского сельсовета Черепановского района Новосибирской области, Положением «О бюджетном процессе в Шурыгинском сельсовете Черепановского района Новосибирской области», утвержденным решением 23-ей сессией (6-го созыва) Совета депутатов Шурыгинского сельсовета Черепановского района Новосибирской области от 04.05.2022 г. №1</w:t>
      </w:r>
    </w:p>
    <w:p w14:paraId="1A672681">
      <w:pPr>
        <w:spacing w:after="0" w:line="240" w:lineRule="auto"/>
        <w:ind w:left="0" w:firstLine="708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Совет депутатов Шурыгинского сельсовета Черепановского района Новосибирской области решил:</w:t>
      </w:r>
    </w:p>
    <w:p w14:paraId="396A0731">
      <w:pPr>
        <w:spacing w:after="0" w:line="250" w:lineRule="auto"/>
        <w:ind w:left="12" w:right="2" w:hanging="10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решение пятьдесят восьмой сессии от 25.12.2024 г № 1 «О бюджете Шурыгинского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сельсовета Черепановского района Новосибирской области</w:t>
      </w:r>
      <w:r>
        <w:rPr>
          <w:rFonts w:hint="default" w:ascii="Times New Roman" w:hAnsi="Times New Roman" w:cs="Times New Roman"/>
          <w:b w:val="0"/>
          <w:bCs w:val="0"/>
          <w:i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на 2025 год и плановый период 2026 и 2027 годов следующие изменения:</w:t>
      </w:r>
    </w:p>
    <w:p w14:paraId="6E62E5AA">
      <w:pPr>
        <w:pStyle w:val="59"/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статье 2: </w:t>
      </w:r>
    </w:p>
    <w:p w14:paraId="363E138C">
      <w:pPr>
        <w:pStyle w:val="59"/>
        <w:ind w:left="1080" w:hanging="1222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пункте 1подпункте 1 приложение 1 изложить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 новой редакции; </w:t>
      </w:r>
    </w:p>
    <w:p w14:paraId="681D2222">
      <w:pPr>
        <w:pStyle w:val="59"/>
        <w:ind w:left="1080" w:hanging="1222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подпункте 2 приложение 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изложить в новой редакции; </w:t>
      </w:r>
    </w:p>
    <w:p w14:paraId="43B7A16E">
      <w:pPr>
        <w:pStyle w:val="59"/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статье 6: приложение 4 изложить в новой редакции;  </w:t>
      </w:r>
    </w:p>
    <w:p w14:paraId="354510AC">
      <w:pPr>
        <w:pStyle w:val="59"/>
        <w:numPr>
          <w:ilvl w:val="0"/>
          <w:numId w:val="1"/>
        </w:numPr>
        <w:spacing w:after="12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Настоящее Решение вступает в силу после официального опубликования в периодическом печатном издании органов местного самоуправления Шурыгинского сельсовета Черепановского района Новосибирской области «Сельские вести»</w:t>
      </w:r>
    </w:p>
    <w:p w14:paraId="63C3B660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Глава Шурыгинского сельсовета                     Председатель Совета депутатов</w:t>
      </w:r>
    </w:p>
    <w:p w14:paraId="6E840A61">
      <w:pPr>
        <w:spacing w:after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Черепановского района                                     Шурыгинского сельсовета</w:t>
      </w:r>
    </w:p>
    <w:p w14:paraId="5FAE16E2">
      <w:pPr>
        <w:spacing w:after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Новосибирской области                                    Черепановского района</w:t>
      </w:r>
    </w:p>
    <w:p w14:paraId="69BDBA6D">
      <w:pPr>
        <w:spacing w:after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Новосибирской области                                                                               </w:t>
      </w:r>
    </w:p>
    <w:p w14:paraId="0A0411F8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                               Е.А.Мумбер                                               Н.М.Апанасенко                                                                                                                                                                                  </w:t>
      </w:r>
    </w:p>
    <w:p w14:paraId="0A304E9D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EEFD395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EB82209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  <w:sectPr>
          <w:headerReference r:id="rId7" w:type="first"/>
          <w:headerReference r:id="rId5" w:type="default"/>
          <w:headerReference r:id="rId6" w:type="even"/>
          <w:type w:val="nextColumn"/>
          <w:pgSz w:w="16840" w:h="11900" w:orient="landscape"/>
          <w:pgMar w:top="1417" w:right="1182" w:bottom="556" w:left="1593" w:header="720" w:footer="720" w:gutter="0"/>
          <w:cols w:space="0" w:num="1"/>
          <w:titlePg/>
          <w:rtlGutter w:val="0"/>
          <w:docGrid w:linePitch="0" w:charSpace="0"/>
        </w:sect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</w:t>
      </w:r>
    </w:p>
    <w:tbl>
      <w:tblPr>
        <w:tblStyle w:val="6"/>
        <w:tblpPr w:leftFromText="180" w:rightFromText="180" w:vertAnchor="page" w:horzAnchor="margin" w:tblpY="2672"/>
        <w:tblW w:w="150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14:paraId="04514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EB6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CE9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391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697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BA1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89A6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D47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62C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231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62EE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511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39CC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DD2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C6C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BE2E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ABE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3D2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1E23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99E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4EF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62A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457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606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E8AF6">
            <w:pPr>
              <w:ind w:left="4248"/>
              <w:jc w:val="right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 к решению</w:t>
            </w:r>
          </w:p>
          <w:p w14:paraId="7CDB4D38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сессии Совета депутатов</w:t>
            </w:r>
          </w:p>
          <w:p w14:paraId="787B5BDD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Шурыгинского сельсовета</w:t>
            </w:r>
          </w:p>
          <w:p w14:paraId="7F7C97DF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Черепановского района </w:t>
            </w:r>
          </w:p>
          <w:p w14:paraId="6F6BD5DF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Новосибирской области</w:t>
            </w:r>
          </w:p>
          <w:p w14:paraId="485AAF07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"О внесении изменений в бюджет</w:t>
            </w:r>
          </w:p>
          <w:p w14:paraId="4C1684C9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Шурыгинского сельсовета </w:t>
            </w:r>
          </w:p>
          <w:p w14:paraId="76F1EEF9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Черепановского района Новосибирской </w:t>
            </w:r>
          </w:p>
          <w:p w14:paraId="161BCC30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области на 2025 год                                                                                        и плановый период 2026 и 2027 годов"</w:t>
            </w:r>
          </w:p>
          <w:p w14:paraId="203EB5A0">
            <w:pPr>
              <w:ind w:left="4248" w:firstLine="708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22D1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630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C9F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475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A6A7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04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45A9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BDE3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C4D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D35E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A51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DB0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5A7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370A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E935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960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066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DD7C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748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758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F1C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721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CC81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840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1C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97C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734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2EB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CE1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446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8F8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E69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87C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963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3243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766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D6C7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702B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B3A7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777B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1AC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34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43EF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AA9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960" w:hRule="atLeast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A01FD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2025 год и плановый период 2026 и 2027 годов</w:t>
            </w:r>
          </w:p>
          <w:p w14:paraId="30B531DD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2E8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255" w:hRule="atLeast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7F7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005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6C1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060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C33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F2E0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558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7651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60F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255" w:hRule="atLeast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F2C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EEDB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936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F3AB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126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E34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руб.</w:t>
            </w:r>
          </w:p>
        </w:tc>
      </w:tr>
    </w:tbl>
    <w:p w14:paraId="2215B006">
      <w:pPr>
        <w:ind w:left="0" w:firstLine="0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B43EF58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61548A26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CABFC99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1FC1B9B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6"/>
        <w:tblW w:w="13900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940"/>
        <w:gridCol w:w="1060"/>
        <w:gridCol w:w="1460"/>
        <w:gridCol w:w="940"/>
        <w:gridCol w:w="1660"/>
        <w:gridCol w:w="1660"/>
        <w:gridCol w:w="2420"/>
      </w:tblGrid>
      <w:tr w14:paraId="5C01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E2BF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01E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B06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94F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AC2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F01B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Сумма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CEEE1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Сумма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C0C6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Сумма</w:t>
            </w:r>
          </w:p>
        </w:tc>
      </w:tr>
      <w:tr w14:paraId="5F1D7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6EFB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9697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34B0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AD9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3B2A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BEA4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2526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2026 год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0BD8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2027 год</w:t>
            </w:r>
          </w:p>
        </w:tc>
      </w:tr>
      <w:tr w14:paraId="2D1B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45C86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2A3B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B6EE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D44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B1C2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BFB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C73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A83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14:paraId="29E6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445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A0DA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95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BE5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80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9409B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5 878 720.00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BEE9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2 914 268.00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ACB8C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2 914 268.00 </w:t>
            </w:r>
          </w:p>
        </w:tc>
      </w:tr>
      <w:tr w14:paraId="0F95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AC7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9D6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0C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53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60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D8989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BFBF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A69EC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01D8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446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2E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0F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E2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BB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C1E40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F4F0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BF49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26A5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4FD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3CD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D14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2ED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17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632C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6BC0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0C050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3B2C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1A1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8D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BB8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B4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DB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F248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257A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9EA0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0A33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0B1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48B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0D7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414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48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1E74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129B5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B9E3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7954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FC4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F8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39E0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BC5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BA3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85282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05E7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1F025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</w:tr>
      <w:tr w14:paraId="4243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3C2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835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30D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2F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B3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530BD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7D741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DA80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</w:tr>
      <w:tr w14:paraId="55F2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599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96C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EBB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C1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F5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66C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0389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7FD0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</w:tr>
      <w:tr w14:paraId="62817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025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71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6F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3FD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9F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1C091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8FCA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9CFBF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</w:tr>
      <w:tr w14:paraId="3E5C7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06D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3C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64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6C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0BB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EDD4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087C2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7D3A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</w:tr>
      <w:tr w14:paraId="3F7C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AB8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3E8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83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CD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2A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1937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1 351 412.40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7EECF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D3BD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</w:tr>
      <w:tr w14:paraId="6961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E7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A9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902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B5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8C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2D44B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9FEC0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F6E9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</w:tr>
      <w:tr w14:paraId="563D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268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4AE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4C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EB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4BF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B1142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CF499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4C32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</w:tr>
      <w:tr w14:paraId="015E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C91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E4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26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4D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85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52F1B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273 401.40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6C12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A62D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CB6F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55B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D7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C6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F6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6F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3165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27 900.00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2C53E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0391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0D2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5A6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03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404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3A0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1D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591C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245 501.40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096C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C1D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2B9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D3C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E7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C4A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316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9F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A5A5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49197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52AE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F5B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F8D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E56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10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BA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0F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B55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47C9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C08D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52D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53D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84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FD6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B9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07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6A66A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D57E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30FE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BD1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1EB9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B6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C6E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84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65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439D2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4EA4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7DB1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941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576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05D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F2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0A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8829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E1F62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68C1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2CAB6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D7A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03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5E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D1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A1C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CD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48FE4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1EBF8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8EA0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EA6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84E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17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3A4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3E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4E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F3215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F6B2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85C30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D6E2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35E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3E1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B37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E8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2CA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43AA1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97742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55E4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91E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522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A5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CD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D31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F4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A206E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00F94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E37F5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85AF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205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2B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54C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9A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B5B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66C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A816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77AE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B7B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96C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BC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F49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6E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3D3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2E69C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5912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4355B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5E3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3E8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5C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48E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1A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9B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3190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CDE7D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B296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F3F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54C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3B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BF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0F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B1C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81303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ADC28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1EB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862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CB4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330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68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6DA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F6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86FF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486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0496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6BD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6AA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7C20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51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2F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8D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1B3C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CF12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4B300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A276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8DC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AE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9BC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FD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38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2ECF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AA4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2D2A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E2A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FA9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C2E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9E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FA9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3E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C02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4F18D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84EE4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B10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962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18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CE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00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039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56A09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F387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41BE9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3BDB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739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Специальные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3A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615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CE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EE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5176F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460E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194F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21C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5CF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F2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B08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24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AC2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886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997F9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D5D15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FB3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81A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FF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2F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E9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B2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7419E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7399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B699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C3B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B8A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573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15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27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FF5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0FB30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C0822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EFE0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493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4A5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38E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F0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9127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D2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4F1B8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D7D8B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5668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D33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440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C8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44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2D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4D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B4B79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2009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4F8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4E1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E6C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CC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39E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075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33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02EBE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34A0A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542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02C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FD5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9F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57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9D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79D8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48D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E014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DDD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9D5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70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F9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811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FF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D91E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C7E2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0216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4AAC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90B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3C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4C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E260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C0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F2E6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361B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CCF3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A1F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70B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B76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58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63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7D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0E68C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EDC6E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1317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C0F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88F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D55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B64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E8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002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3D18D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1D38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5590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264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6BC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8F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BD9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2C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51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656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5115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6EB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851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F8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6F3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99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54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D7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D8DF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09D57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99D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620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83F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E5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98C8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7A8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2A6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F8F49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061F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D14F7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0CA2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115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411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BA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D4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B7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731C9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090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596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3F3B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980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A8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FC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C9D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DA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75E4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642F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6F274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6219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5E1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57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74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1E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542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DDDDA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EB27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025A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2999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107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57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9F1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59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21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E469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0184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197 340.00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C98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205 040.00 </w:t>
            </w:r>
          </w:p>
        </w:tc>
      </w:tr>
      <w:tr w14:paraId="7F2C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813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DDD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1DA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CF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63F5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DFB8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181A9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197 340.00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8624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205 040.00 </w:t>
            </w:r>
          </w:p>
        </w:tc>
      </w:tr>
      <w:tr w14:paraId="7905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9DD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BC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341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CE7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12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40BC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F130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19 860.00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4DBB4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19 960.00 </w:t>
            </w:r>
          </w:p>
        </w:tc>
      </w:tr>
      <w:tr w14:paraId="3E3F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D26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FAC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0778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08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C70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ABFD1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7F7B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19 860.00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6E808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19 960.00 </w:t>
            </w:r>
          </w:p>
        </w:tc>
      </w:tr>
      <w:tr w14:paraId="46EB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BA1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84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66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B0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AB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C6483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430 811.00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ADF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55C9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C9D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9E6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CE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10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27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05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88392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430 811.00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9094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4134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0E6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95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D7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E62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68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2E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101C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430 811.00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62E3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F453A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AE5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361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B0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8D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CB4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30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42BB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0211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5CE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142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A83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ED3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7D1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F7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CC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ACBF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DC7C5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4FFD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2B08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D26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25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3E5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07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C1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1B8F1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C730B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47970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7B1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9D3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D8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341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8C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31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547B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142 637.00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5A2C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749A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ABE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40D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05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B59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11E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18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4B9A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142 637.00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447E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5176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458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5D6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5D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17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36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A27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F50B3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142 637.00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8292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FE98A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E10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B80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9FC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20A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C6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3FB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231EF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E1D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0792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EBB4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117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9E6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F9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3AD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99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2625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D22A6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8077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069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EE8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D6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88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C6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62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46E4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BC1E8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3A7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EAE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1D2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C7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69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B8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E6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8F94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9B5D8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B26B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01E35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3AE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EC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1C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0BE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2B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B02EC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64BD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F8DD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2E7F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643B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12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99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DA9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EF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69741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7261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9C6D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22E6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FB2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92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40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4A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09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1C65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E680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F5082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1B06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B8F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98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117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170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27D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53884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60E7E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BFE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2B3B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655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8D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871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B9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F19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A786C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0275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993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3864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1DA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AA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590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A60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4E8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F3FCC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861 408.18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0D93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81B2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3649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B2A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CC8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AE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F5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6E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1815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861 408.18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EFD6A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97B1B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713C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E5B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F0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B8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DD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32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1E19B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861 408.18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6D1F5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0AAA5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1C93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60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C0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AD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AA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3B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5F6E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40EF3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0AF8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05B4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4D6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0C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EE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2C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7D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1BE9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E19B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FA26B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71AF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A35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D2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C5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FA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DF7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ECCA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C31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A0000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3A0A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7C5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423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05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EE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C2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74F90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A6CD5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6A02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F6D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A64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7C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B7F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C02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DE2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5089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71060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6477B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BC8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650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987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98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89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43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41AD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25DEA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F86E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AB7C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CF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0C5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3EA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D1D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129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B2D5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269 893.33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F689E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35C9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834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AC4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81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6DE4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0A4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E08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83F3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269 893.33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604DF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1E758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D32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2EF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D5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47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A8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5F1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6157D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269 893.33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32099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04FA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077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477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CF6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B0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2D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DFC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7C0C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132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CDA4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B04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CE5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4A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65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50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73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50F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0C09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745CD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40F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A2C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C5A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73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B7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E0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A63D0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7FEB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7A0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7D8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BAB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21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865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A86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2B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0651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2BFD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4568D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824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CDE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5F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79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48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03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A212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463D0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D9191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3EE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5AE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88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957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D2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1D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E91A5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5127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7406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993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4DB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BED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7EC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AB1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21F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8985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32363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232C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44B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DFC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B5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3E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D8D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61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5601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EBF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667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565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4C2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37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2B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22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08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242D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BD47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D2B7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9503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C48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87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23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FBE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DE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7D80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9 587 799.37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A32F1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6 191 771.50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0E46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6 584 379.00 </w:t>
            </w:r>
          </w:p>
        </w:tc>
      </w:tr>
      <w:tr w14:paraId="080C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068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BF7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9E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43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0E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BD110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9 587 799.37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C7C99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6 191 771.50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A6B2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6 584 379.00 </w:t>
            </w:r>
          </w:p>
        </w:tc>
      </w:tr>
      <w:tr w14:paraId="63B4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956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D3E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75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CA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41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DAD3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9 587 799.37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D5847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6 191 771.50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CF10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6 584 379.00 </w:t>
            </w:r>
          </w:p>
        </w:tc>
      </w:tr>
      <w:tr w14:paraId="0A8A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3E4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0D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8D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4B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D1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8546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753C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4 929 311.50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9FE53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5 321 919.00 </w:t>
            </w:r>
          </w:p>
        </w:tc>
      </w:tr>
      <w:tr w14:paraId="140E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F5A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784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0F1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43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B0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0C06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28C20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4 929 311.50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F214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5 321 919.00 </w:t>
            </w:r>
          </w:p>
        </w:tc>
      </w:tr>
      <w:tr w14:paraId="2AA18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E49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09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F5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2A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A1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A994E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91AAF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4 929 311.50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44605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5 321 919.00 </w:t>
            </w:r>
          </w:p>
        </w:tc>
      </w:tr>
      <w:tr w14:paraId="4781A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7CA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C4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D92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34E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221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B597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2 249 818.00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EACF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1C11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</w:tr>
      <w:tr w14:paraId="1F1F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C31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9C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07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DE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3B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2B8B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CB97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C8C5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</w:tr>
      <w:tr w14:paraId="0C32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3C4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48D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58D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6CF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63A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1670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34086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94FE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</w:tr>
      <w:tr w14:paraId="3118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F26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1F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33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56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04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813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621C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0B81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3CF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72E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9A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1F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12E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3067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D7D2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75D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736A9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BA1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3E6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AC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77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B0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B2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1BDC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FC24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1735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3253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747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DC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7D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62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C4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AEB03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CC4F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BC96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D45B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6BD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C3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04E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19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A8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CF59F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9F31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4D6BA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02C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A9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1FC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CF7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29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D2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6483E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E3D2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B702A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AC3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328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6E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B8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53B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88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CAAE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C2ED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34312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7B6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562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3E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C9E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F32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93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DF0E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5C7EB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D361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24C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42B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B4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E940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D91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D3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BD37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52579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5C9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8D9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FB0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F4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EA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B2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5C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52BB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8686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783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3015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FC4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50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E6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99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5C5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BD3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949E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5C73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FBC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0A4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6E2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2C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E8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23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42A9D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597B9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94C99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CD0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5B9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88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2E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126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8337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2476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67D03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7D0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C16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03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3CC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DD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708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BD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D755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53CA7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39E75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7A4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E0F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1B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E8E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8B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69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CCB1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41237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D46CE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22C8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15D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1B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6CE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C9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96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F9463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97329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AC458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0E03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4B7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52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58E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1F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39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5B51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62A48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BCF91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6634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D95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C6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F3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E5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4F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37B55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9EA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374E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4007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45F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97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A9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19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C3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F5E8B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9296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26886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6E7B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5EBFBA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EBC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20 060 917.88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5FF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11 434 500.00 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D3E9E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12 729 500.00 </w:t>
            </w:r>
          </w:p>
        </w:tc>
      </w:tr>
    </w:tbl>
    <w:p w14:paraId="353AD938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0019E13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488F2CE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607AA7A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53C1EE2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Приложение № 2 к решению</w:t>
      </w:r>
    </w:p>
    <w:p w14:paraId="62B4A99A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сессии Совета депутатов</w:t>
      </w:r>
    </w:p>
    <w:p w14:paraId="4AD4D6BA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Шурыгинского сельсовета</w:t>
      </w:r>
    </w:p>
    <w:p w14:paraId="7A863600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Черепановского района </w:t>
      </w:r>
    </w:p>
    <w:p w14:paraId="1BE199BD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Новосибирской области</w:t>
      </w:r>
    </w:p>
    <w:p w14:paraId="29B305D5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"О внесении изменений в бюджет</w:t>
      </w:r>
    </w:p>
    <w:p w14:paraId="271417FD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Шурыгинского сельсовета </w:t>
      </w:r>
    </w:p>
    <w:p w14:paraId="2312B384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Черепановского района Новосибирской </w:t>
      </w:r>
    </w:p>
    <w:p w14:paraId="303D131E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                области на 2025 год                                                                                        и плановый период 2026 и 2027 годов"</w:t>
      </w:r>
    </w:p>
    <w:p w14:paraId="4C24C485">
      <w:pPr>
        <w:ind w:left="4248" w:firstLine="708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6"/>
        <w:tblW w:w="146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4191"/>
        <w:gridCol w:w="222"/>
      </w:tblGrid>
      <w:tr w14:paraId="46D32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414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6B9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Ведомственная структура расходов бюджета Шурыгинского сельсовета Черепановского района Новосибирской области на 2025 год и плановый период 2026 и 2027 годов</w:t>
            </w:r>
          </w:p>
          <w:p w14:paraId="5B6B1CA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936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9FBE347">
      <w:pPr>
        <w:ind w:left="0" w:firstLine="0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tbl>
      <w:tblPr>
        <w:tblStyle w:val="6"/>
        <w:tblW w:w="14120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980"/>
        <w:gridCol w:w="940"/>
        <w:gridCol w:w="1060"/>
        <w:gridCol w:w="1460"/>
        <w:gridCol w:w="940"/>
        <w:gridCol w:w="1660"/>
        <w:gridCol w:w="1660"/>
        <w:gridCol w:w="1660"/>
      </w:tblGrid>
      <w:tr w14:paraId="44A51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1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3FD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A94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D3C2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9BE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9C04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EF3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5DFF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580D0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Сумма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FC8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Сумма</w:t>
            </w:r>
          </w:p>
        </w:tc>
      </w:tr>
      <w:tr w14:paraId="1E50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045E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85B8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7C9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015F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85DB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421A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A902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08C99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2026 год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3CAB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2027 год</w:t>
            </w:r>
          </w:p>
        </w:tc>
      </w:tr>
      <w:tr w14:paraId="632A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FBF19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353C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735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450C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C79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9F06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19D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AB6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C1E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</w:tr>
      <w:tr w14:paraId="54D3B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257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Шурыгинского сельсовета Черепановского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74A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2B6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C0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421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DA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73A1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20 480 917.88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C7CC1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11 434 500.00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7674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12 729 500.00 </w:t>
            </w:r>
          </w:p>
        </w:tc>
      </w:tr>
      <w:tr w14:paraId="4B8D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E88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57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8DF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61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C9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72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A294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5 878 720.00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E1A2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2 914 268.00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FA0DC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2 914 268.00 </w:t>
            </w:r>
          </w:p>
        </w:tc>
      </w:tr>
      <w:tr w14:paraId="68F1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AD0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E3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480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2A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3B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04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7517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6CFC4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EAA8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6549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D5C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687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F7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63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38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D0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AF69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846A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1844B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499E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DDB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16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B5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0A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374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75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7CD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9A0D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0FC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5A7F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B36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33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87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E64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3D22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B6F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11BB0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EB933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500B0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7A76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B92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1D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4F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7D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BA53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58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34019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1 322 678.00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430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8D53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874 200.00 </w:t>
            </w:r>
          </w:p>
        </w:tc>
      </w:tr>
      <w:tr w14:paraId="0D32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EE4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71B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C0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37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9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D5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F3FD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107DC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A1A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</w:tr>
      <w:tr w14:paraId="19C9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13C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00B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9F4F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03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1E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B6A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065EA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4 021 942.00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F96EC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F614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2 040 068.00 </w:t>
            </w:r>
          </w:p>
        </w:tc>
      </w:tr>
      <w:tr w14:paraId="7F9D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471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5A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D7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FF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23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94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A83FD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5545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FD03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</w:tr>
      <w:tr w14:paraId="59FE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9A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43D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F1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387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0E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7E4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56D4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0DDB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6C88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</w:tr>
      <w:tr w14:paraId="366E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C6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2B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86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2B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5A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3D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85AE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2 601 529.60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641B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C441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1 634 300.00 </w:t>
            </w:r>
          </w:p>
        </w:tc>
      </w:tr>
      <w:tr w14:paraId="3A4C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E2A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80B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A1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A2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C7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10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AC2A6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1 351 412.40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D73D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D10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</w:tr>
      <w:tr w14:paraId="282B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36C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5E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8D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B3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6E5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AC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BE220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344D6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14D88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</w:tr>
      <w:tr w14:paraId="4688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7C1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DF0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077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A57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B7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26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572B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1 078 011.00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5D5B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3C653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405 768.00 </w:t>
            </w:r>
          </w:p>
        </w:tc>
      </w:tr>
      <w:tr w14:paraId="2E81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9BE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05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7B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AE8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DC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01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E581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273 401.40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80D06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5312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684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8AD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2A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04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CA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29A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28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B39C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27 900.00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6F518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9F214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D25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B8B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B95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DC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78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2D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A9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87E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245 501.40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2ACE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9A26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3D8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E99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96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67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602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F20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2BC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331E6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16D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EA1CC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7F0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CEE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9F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EB5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05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01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AB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85253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BD58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A078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67D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021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18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4D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9D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C0D6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A86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140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69 000.00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905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937B8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338C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2D1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ED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C11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B2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0E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3D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DA5E8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E9ADD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5D1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809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50F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7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02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A4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4A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43D6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0361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45E5D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E319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5188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D42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2ED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C5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D8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2E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639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2614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01B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AF3E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B2C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F0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D54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E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AC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63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8D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EA95A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9BC5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BE7A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9A2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16E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85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2E3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9BC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0E2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76B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3069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311B3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B248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F64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2AE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46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F5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BA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73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D1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537A0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B2A5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B73BA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8E08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CEA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4A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0F1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DA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5B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05F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C300C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87E62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AD51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4D1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C13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17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5B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A8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6A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1B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2A5D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C435A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62D6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DD8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C4F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3B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52B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868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826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8EE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374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A093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7BA9C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C56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CC1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335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EF3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D6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D0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A3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60462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EE00A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39680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F40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975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F8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22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D6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16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0B2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EA52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E9BB2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E55F9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68E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ECD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CC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5FC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1B8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7E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D09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BC4CE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DC40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3A0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498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F82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F8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58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AD0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CA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8A3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B27D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ACE10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B71D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14E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463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59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FE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E0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44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E1B6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C9DCF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BEDE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2E4B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79D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281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9C0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E9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FB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B8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81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E891A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CAB68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A9A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DF01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4CF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4E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331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68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34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B5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8387E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393 400.00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4044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BC0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1F5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9B6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68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C62C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8D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BD2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F98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64215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FEAF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603F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4A0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1BE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B0A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3E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9F5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D463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64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C0A1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18E9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506E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0AC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694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B0F0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1B0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3D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96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C7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6792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F3DC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88207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1A4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95F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52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0C1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B0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DC7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658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984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9F52A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D34D2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F45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B95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1EA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F87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A8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12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16F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00D09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060BA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4A27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F7B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7B2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F92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13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D8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2B3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B41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3FE4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6C48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7482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193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190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2D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FBE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2D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8C9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18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6FD1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CAA9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B4AF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76F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861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E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37C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160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5B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CF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2F8D0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5084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4D36C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244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735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A4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CB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A0A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A31A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69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315E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1DEF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6BC20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3EB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61E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5B1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0D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59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1D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1FB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12B4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F25FD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4955D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841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F15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38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0A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962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C1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28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97160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493E0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4E682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26B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9A0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563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11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6F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B6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CB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6D2A0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14A56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9D5D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C46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FF7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54E3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73E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86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28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8D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883E9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F80EB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F277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404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A41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45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F5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E1F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7D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95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D9CE5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5314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8AD77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6396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B9E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4C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30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A5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958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93E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A3EC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29DD0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19A2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25CA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38C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12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33F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B35F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EF7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106E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31F5E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5D15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7C85E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5D15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5EE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AD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AE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E5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1E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E6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06AD2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198 560.00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0EDA4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217 200.00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DC2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225 000.00 </w:t>
            </w:r>
          </w:p>
        </w:tc>
      </w:tr>
      <w:tr w14:paraId="33E2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B23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45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5E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A82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F8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D5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E642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2413D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197 340.00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C51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205 040.00 </w:t>
            </w:r>
          </w:p>
        </w:tc>
      </w:tr>
      <w:tr w14:paraId="105C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850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5CD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B74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1A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DE8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DE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0F8C6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185 560.00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320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197 340.00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23D9E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205 040.00 </w:t>
            </w:r>
          </w:p>
        </w:tc>
      </w:tr>
      <w:tr w14:paraId="427CF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D6C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6E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A0B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B65D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12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F1B2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996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2F95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19 860.00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7B1A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19 960.00 </w:t>
            </w:r>
          </w:p>
        </w:tc>
      </w:tr>
      <w:tr w14:paraId="11C8F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488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DB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E1A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11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CA9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1F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25C23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F9A72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19 860.00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1F0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19 960.00 </w:t>
            </w:r>
          </w:p>
        </w:tc>
      </w:tr>
      <w:tr w14:paraId="29D70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56D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D5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186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38F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108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0B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F677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430 811.00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D559D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8557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359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668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C9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12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244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A503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80F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07E27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430 811.00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15CBD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E778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542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0B1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6B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D15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25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A5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33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3918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430 811.00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4AAD6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19DC9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760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526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39DF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79C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BF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619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E4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BB387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6DE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CB7D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FC9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EA2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3B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C8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41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C2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92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313BF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290C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C4767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415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BBD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52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A0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EA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D5C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9500015150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97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1FC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85 590.00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9E3BC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B1D1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9A53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B98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30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CA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B4E4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C1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6A92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DB970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142 637.00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A3D6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E01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E0D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95C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39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19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76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9E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C0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99C1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142 637.00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68C5F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75E2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8BFF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56B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05C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DD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E83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2B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62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8FB6F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142 637.00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E300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E2F72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D33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214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462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F7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4E7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5AB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B7B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E83D3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B95CD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6288F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E64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F3A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49F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31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78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294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7947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F9CFB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0E7E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5D6C2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EB9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9AC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31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8FBE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0B6A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4E9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EE7F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3949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202 584.00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72BC4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8491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DB7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C15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73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1C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248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1B78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10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9AF3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C023F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82FCD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271C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456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4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06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8FC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BF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B960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2FC0F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C7C4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E7EC7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0F3F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9FF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1F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926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91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62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6A2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0230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C2DE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EB6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341C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3C5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B1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B3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1FD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23E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E2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89589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F2E52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A6F04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17A6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9FD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1FE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389B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85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B756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83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32FB5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51F2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CFDC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6452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F3E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A69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47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5C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C7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55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F39ED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2 436 919.33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896D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1 445 200.00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07BD3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1 995 000.00 </w:t>
            </w:r>
          </w:p>
        </w:tc>
      </w:tr>
      <w:tr w14:paraId="293B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D21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32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F6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E30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7C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659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96BD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861 408.18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622D1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8FB18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6A8C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6B9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71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89A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27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0EF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62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9AECF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861 408.18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77B56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5F9C9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46B1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339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CE2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997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0F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EF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68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7436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861 408.18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D1E9C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419A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26D9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A74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9E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A8F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72A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B5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86A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CF7AA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4B796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9EBE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5A7D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984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4E2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631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B5FD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66A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CC7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9EADD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2F59D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7F8FB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7F85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717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2283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33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9A0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E429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F0E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179F6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4D007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241DE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385 628.00 </w:t>
            </w:r>
          </w:p>
        </w:tc>
      </w:tr>
      <w:tr w14:paraId="4AFE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FDB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54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47C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BBC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86F1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29C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E76D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07AE9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9F936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205E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998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54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64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BA9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D3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8F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8271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377BE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5E507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196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6E7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04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EF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C1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83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0F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06375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45 886.85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EAC85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B1C2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833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5F3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974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C7B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C2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AD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D9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E75E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269 893.33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253A5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5702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85B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F7F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137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2DD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C6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A4B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99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7D23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269 893.33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35FC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BE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6F6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D58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E0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FAA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D5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D1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ED5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C2504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269 893.33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3571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54E96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3A7B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DB8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30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0BD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9E3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98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2F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F4B21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2553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34DDE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752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75D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716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675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60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3895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7C5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7CBC4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4254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E2C6B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134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AFD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320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17E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EC5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50A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0A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760D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04DA9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8BB1D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B4A8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BDD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69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DAF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3C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DD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9C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B542A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AF352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AB8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6D3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AB0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D7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30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F6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9665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A5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5D104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7632D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CF1BC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083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451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4AC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A5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FE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80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ACB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8694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4B00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1CA1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847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FCE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8BFD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A968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E1D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5D1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5C2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C19B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1B72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2D2EA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3F4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85C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28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DD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E2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29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71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90772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D0E9B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F980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AAD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978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79E7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43F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0A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CCB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F25E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D0BB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3D7F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47D2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AD8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CA9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B2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BA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59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FFF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C052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A8B26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9 587 799.37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F105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6 191 771.50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8095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6 584 379.00 </w:t>
            </w:r>
          </w:p>
        </w:tc>
      </w:tr>
      <w:tr w14:paraId="2C98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AA0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E11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7C6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57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BC1E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71C6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97CD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9 587 799.37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6DC5E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6 191 771.50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EE9F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6 584 379.00 </w:t>
            </w:r>
          </w:p>
        </w:tc>
      </w:tr>
      <w:tr w14:paraId="2DB0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E5B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1E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19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D07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2E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EDAB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E6FD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9 587 799.37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68EAD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6 191 771.50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CA687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6 584 379.00 </w:t>
            </w:r>
          </w:p>
        </w:tc>
      </w:tr>
      <w:tr w14:paraId="3DC9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7E6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74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BF6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A0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DD41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97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E8C1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F02F5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4 929 311.50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6BD9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5 321 919.00 </w:t>
            </w:r>
          </w:p>
        </w:tc>
      </w:tr>
      <w:tr w14:paraId="4673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EE4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1F7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920B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1F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BE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2AB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A5C5E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C1BA6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4 929 311.50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EEC9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5 321 919.00 </w:t>
            </w:r>
          </w:p>
        </w:tc>
      </w:tr>
      <w:tr w14:paraId="42E4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0F5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FA6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60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16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5EFE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0BD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7B7FA0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7 046 800.00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A8E61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4 929 311.50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AF3A7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5 321 919.00 </w:t>
            </w:r>
          </w:p>
        </w:tc>
      </w:tr>
      <w:tr w14:paraId="762D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24B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B45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94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D6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E4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D91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4237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2 249 818.00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5DF9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222BC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</w:tr>
      <w:tr w14:paraId="36A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B31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F0E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32D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AA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26A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2A3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D8DD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0916D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B291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</w:tr>
      <w:tr w14:paraId="3445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C09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1DB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637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26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DA6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A5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567B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2 192 318.00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AE7C0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F10D4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1 262 460.00 </w:t>
            </w:r>
          </w:p>
        </w:tc>
      </w:tr>
      <w:tr w14:paraId="1AFC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7CF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F9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13D9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DB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244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24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F0F3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811C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6F1D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40D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0C0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48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E94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283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7DA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562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21BB2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57 500.00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97C2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6BC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27C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450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1E55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38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C1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224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87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61A46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95134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CB8AA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5F61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3F9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43E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53C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10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C1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91B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F60B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E8FCBA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F38FB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330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3B1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F87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FE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DB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B363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2AB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0B2F9E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160 000.00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A405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534E2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5EE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5A1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154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BBB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74A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D64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3C20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9D8CC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34576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135E81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1936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B23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17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AD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871B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2BF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34C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B10E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E537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CB2EF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2B1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062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A45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767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FBB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EC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1B9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876BB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131 181.37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65BF4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4360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4134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061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83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1F6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DFD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C25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62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D3BA8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38BC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8650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376B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E8C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267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DF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2F2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A7A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EEA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4EE6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2060A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55DC7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4337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3BB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12D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CBE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8C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E81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89A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E7607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340EF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65574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9FD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E84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3F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5DC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5D4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184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EE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C0AE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29D50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EF97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66E2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6E2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D2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951D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185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6A7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F460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CF6E7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C8950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7768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0F27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871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2E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99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217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09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6D3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6A12E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646 700.00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E2C5B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AEA3A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</w:tr>
      <w:tr w14:paraId="7923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B34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652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D73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A41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52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80E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96ED02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F77693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A445F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3C98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2F7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8F1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EA8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DB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E24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852F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75772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2FC5D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C5172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38DE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2BB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E46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684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76D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C73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63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E80F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50C9A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07660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5A43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6C9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B5F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4F8F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C34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38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DC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29A50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31A405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1CF5B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6898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265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817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F14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AF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067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860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EC81E7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204EAD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280 432.50 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BD1DD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625 225.00 </w:t>
            </w:r>
          </w:p>
        </w:tc>
      </w:tr>
      <w:tr w14:paraId="53169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D2E57F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F616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20 060 917.88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DDC44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11 434 500.00 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0623FC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12 729 500.00 </w:t>
            </w:r>
          </w:p>
        </w:tc>
      </w:tr>
    </w:tbl>
    <w:p w14:paraId="6DC13288">
      <w:pPr>
        <w:jc w:val="both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8D61457">
      <w:pPr>
        <w:ind w:left="4248"/>
        <w:jc w:val="right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Приложение № 4 к решению</w:t>
      </w:r>
    </w:p>
    <w:p w14:paraId="273D0D37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сессии Совета депутатов</w:t>
      </w:r>
    </w:p>
    <w:p w14:paraId="322FDC95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Шурыгинского сельсовета</w:t>
      </w:r>
    </w:p>
    <w:p w14:paraId="759C2979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Черепановского района </w:t>
      </w:r>
    </w:p>
    <w:p w14:paraId="346BAB77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Новосибирской области</w:t>
      </w:r>
    </w:p>
    <w:p w14:paraId="33600715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"О внесении изменений в бюджет</w:t>
      </w:r>
    </w:p>
    <w:p w14:paraId="06E09E5A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Шурыгинского сельсовета </w:t>
      </w:r>
    </w:p>
    <w:p w14:paraId="4C13B7D4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Черепановского района Новосибирской </w:t>
      </w:r>
    </w:p>
    <w:p w14:paraId="622756B1">
      <w:pPr>
        <w:ind w:left="4248" w:firstLine="708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                области на 2025 год                                                                                        и плановый период 2026 и 2027 годов</w:t>
      </w:r>
    </w:p>
    <w:tbl>
      <w:tblPr>
        <w:tblStyle w:val="6"/>
        <w:tblW w:w="15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27"/>
        <w:gridCol w:w="3118"/>
        <w:gridCol w:w="2410"/>
        <w:gridCol w:w="2551"/>
        <w:gridCol w:w="2552"/>
        <w:gridCol w:w="96"/>
      </w:tblGrid>
      <w:tr w14:paraId="5FED7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Style w:val="6"/>
              <w:tblW w:w="1584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40"/>
            </w:tblGrid>
            <w:tr w14:paraId="039BF4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5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38913C9">
                  <w:pPr>
                    <w:spacing w:after="0" w:line="240" w:lineRule="auto"/>
                    <w:ind w:left="0" w:firstLine="0"/>
                    <w:jc w:val="center"/>
                    <w:rPr>
                      <w:rFonts w:hint="default"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>Источники финансирования дефицита бюджета Шурыгинского сельсовета Черепановского района Новосибирской области</w:t>
                  </w: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i/>
                      <w:iCs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>на 2025 год и плановый период 2026 и 2027  годов</w:t>
                  </w:r>
                </w:p>
              </w:tc>
            </w:tr>
            <w:tr w14:paraId="2BA66F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5" w:hRule="atLeast"/>
              </w:trPr>
              <w:tc>
                <w:tcPr>
                  <w:tcW w:w="15840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2A21BE">
                  <w:pPr>
                    <w:spacing w:after="0" w:line="240" w:lineRule="auto"/>
                    <w:ind w:left="0" w:firstLine="0"/>
                    <w:jc w:val="left"/>
                    <w:rPr>
                      <w:rFonts w:hint="default"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769AFD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F5F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375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20E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D857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9C8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25D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96DF9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ED468">
            <w:pPr>
              <w:spacing w:after="0" w:line="240" w:lineRule="auto"/>
              <w:ind w:left="0" w:firstLine="0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 рублях</w:t>
            </w:r>
          </w:p>
        </w:tc>
      </w:tr>
      <w:tr w14:paraId="4CA4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35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C0F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0C0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5D4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37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2025 год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A8C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2026 год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A5B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2027 год</w:t>
            </w:r>
          </w:p>
        </w:tc>
      </w:tr>
      <w:tr w14:paraId="1075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25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4BB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4F1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C38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15D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DE9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D09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</w:tr>
      <w:tr w14:paraId="4DDE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06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B30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01B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A6521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C7438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1 392 098.32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20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54B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0,00</w:t>
            </w:r>
          </w:p>
        </w:tc>
      </w:tr>
      <w:tr w14:paraId="6868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65C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62B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84B1E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15C4C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1 392 098.32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B25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7049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0,00</w:t>
            </w:r>
          </w:p>
        </w:tc>
      </w:tr>
      <w:tr w14:paraId="7048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123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69D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17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B8A3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218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1 392 098.32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1B0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A1A1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0,00</w:t>
            </w:r>
          </w:p>
        </w:tc>
      </w:tr>
      <w:tr w14:paraId="61F2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2B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FA6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A4AA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70BE8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9678D0F">
            <w:pPr>
              <w:ind w:left="0" w:firstLine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18 668 819.56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D19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D50942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11 434 500,00</w:t>
            </w:r>
          </w:p>
          <w:p w14:paraId="51DF69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AEB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8519C4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12 729 500,00</w:t>
            </w:r>
          </w:p>
          <w:p w14:paraId="1377757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E56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2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51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F66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5D83A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18A690">
            <w:pPr>
              <w:ind w:left="0" w:firstLine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18 668 819.56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242D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5C16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11 434 500,00</w:t>
            </w:r>
          </w:p>
          <w:p w14:paraId="3A9CAF0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277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3F304C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12 729 500,00</w:t>
            </w:r>
          </w:p>
          <w:p w14:paraId="03BB67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9BF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0799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D10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36B16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6D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20 060 917.88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EF9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11 434 500,00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06E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12 729 500,00</w:t>
            </w:r>
          </w:p>
        </w:tc>
      </w:tr>
      <w:tr w14:paraId="7FFE2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5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91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E2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1E72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ACC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20 060 917.88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D12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11 434 500,00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484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12 729 500,00</w:t>
            </w:r>
          </w:p>
        </w:tc>
      </w:tr>
    </w:tbl>
    <w:p w14:paraId="087D04F3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83186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14:paraId="43E9A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ШУРЫГИНСКОГО СЕЛЬСОВЕТА</w:t>
      </w:r>
    </w:p>
    <w:p w14:paraId="3E8BE3EC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ЧЕРЕПАНОВСКОГО РАЙОНА</w:t>
      </w:r>
    </w:p>
    <w:p w14:paraId="28900688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НОВОСИБИРСКОЙ ОБЛАСТИ</w:t>
      </w:r>
    </w:p>
    <w:p w14:paraId="736CC2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(шестого созыва)</w:t>
      </w:r>
    </w:p>
    <w:p w14:paraId="51D96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378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52A555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(шестьдесят седьмой сессии)</w:t>
      </w:r>
    </w:p>
    <w:p w14:paraId="0E6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ACC1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22.07.2025 года                       с. Шурыгино                                                 № 2    </w:t>
      </w:r>
    </w:p>
    <w:p w14:paraId="180C35AD">
      <w:pPr>
        <w:pStyle w:val="39"/>
        <w:widowControl/>
        <w:jc w:val="both"/>
        <w:rPr>
          <w:rFonts w:ascii="Arial" w:hAnsi="Arial" w:cs="Arial"/>
          <w:b w:val="0"/>
          <w:sz w:val="24"/>
          <w:szCs w:val="24"/>
        </w:rPr>
      </w:pPr>
    </w:p>
    <w:p w14:paraId="5FA74A5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 внесении изменений в решение Совета депутатов Шурыгинского сельсовета   Черепановского района Новосибирской области от 30.09.2021    № 4 "</w:t>
      </w:r>
      <w:r>
        <w:rPr>
          <w:rFonts w:ascii="Arial" w:hAnsi="Arial" w:cs="Arial"/>
          <w:bCs/>
          <w:sz w:val="24"/>
          <w:szCs w:val="24"/>
        </w:rPr>
        <w:t>Об утверждении Положения о муниципальном контроле в сфере благоустройства на территории Шурыгинского сельсовета   Черепановского района Новосибирской области"</w:t>
      </w:r>
    </w:p>
    <w:p w14:paraId="5F445D46">
      <w:pPr>
        <w:pStyle w:val="56"/>
        <w:ind w:firstLine="709"/>
        <w:jc w:val="both"/>
        <w:outlineLvl w:val="0"/>
        <w:rPr>
          <w:sz w:val="24"/>
          <w:szCs w:val="24"/>
        </w:rPr>
      </w:pPr>
    </w:p>
    <w:p w14:paraId="2D8FF9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06.10.2003г № 131-ФЗ "Об общих принципах организации местного самоуправления в Российской Федерации", Совет депутатов Шурыгинского сельсовета Черепановского района Новосибирской области</w:t>
      </w:r>
    </w:p>
    <w:p w14:paraId="72A8BB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14:paraId="73B5A4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</w:t>
      </w:r>
      <w:r>
        <w:rPr>
          <w:rFonts w:ascii="Arial" w:hAnsi="Arial" w:cs="Arial"/>
          <w:sz w:val="24"/>
          <w:szCs w:val="24"/>
          <w:lang w:eastAsia="ru-RU"/>
        </w:rPr>
        <w:t>решение Совета депутатов Шурыгинского сельсовета   Черепановского района Новосибирской области от 30.09.2021 № 4 "</w:t>
      </w:r>
      <w:r>
        <w:rPr>
          <w:rFonts w:ascii="Arial" w:hAnsi="Arial" w:cs="Arial"/>
          <w:bCs/>
          <w:sz w:val="24"/>
          <w:szCs w:val="24"/>
          <w:lang w:eastAsia="ru-RU"/>
        </w:rPr>
        <w:t>Об утверждении Положения о муниципальном контроле в сфере благоустройства на территории Шурыгинского сельсовета   Черепановского района Новосибирской области</w:t>
      </w:r>
      <w:r>
        <w:rPr>
          <w:rFonts w:ascii="Arial" w:hAnsi="Arial" w:cs="Arial"/>
          <w:sz w:val="24"/>
          <w:szCs w:val="24"/>
          <w:lang w:eastAsia="ru-RU"/>
        </w:rPr>
        <w:t>" следующие изменения:</w:t>
      </w:r>
    </w:p>
    <w:p w14:paraId="43B5A1C5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Положении </w:t>
      </w:r>
      <w:r>
        <w:rPr>
          <w:rFonts w:ascii="Arial" w:hAnsi="Arial" w:cs="Arial"/>
          <w:bCs/>
          <w:sz w:val="24"/>
          <w:szCs w:val="24"/>
        </w:rPr>
        <w:t>о муниципальном контроле в сфере благоустройства на территории Шурыгинского сельсовета   Черепановского района Новосибирской области:</w:t>
      </w:r>
    </w:p>
    <w:p w14:paraId="39AC6B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1.1.1. В пункте 1.8.2. слова "(надзорного)" - исключить;</w:t>
      </w:r>
    </w:p>
    <w:p w14:paraId="5BAA5B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1.1.2. В пункте 1.8.2. слова"(надзорные)" - исключить;</w:t>
      </w:r>
    </w:p>
    <w:p w14:paraId="176F444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1.1.3. В пункте 1.8.2. слова "(надзорных)" - исключить;</w:t>
      </w:r>
    </w:p>
    <w:p w14:paraId="0B32C2E3">
      <w:pPr>
        <w:pStyle w:val="6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1.1.4. В пункте 4.1.4. слова "Плановые и внеплановые контрольные мероприятия" заменить на слова: "Контрольные мероприятия";</w:t>
      </w:r>
    </w:p>
    <w:p w14:paraId="43CF05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1.1.5. В подпункте 1 пункта 4.2.1. слово "(надзорного)" - исключить;</w:t>
      </w:r>
    </w:p>
    <w:p w14:paraId="2D6BDB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1.1.6. В пункте 4.2.4. слово "(надзорный)" - исключить;</w:t>
      </w:r>
    </w:p>
    <w:p w14:paraId="5897C5D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1.1.7. В абзаце 2 пункта 4.5.6. слова "двух рабочих дней" заменить на слова: " десяти рабочих дней" ;</w:t>
      </w:r>
    </w:p>
    <w:p w14:paraId="2546B935">
      <w:pPr>
        <w:pStyle w:val="25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  <w:lang w:val="ru-RU"/>
        </w:rPr>
        <w:t>8</w:t>
      </w:r>
      <w:r>
        <w:rPr>
          <w:rFonts w:ascii="Arial" w:hAnsi="Arial" w:cs="Arial"/>
          <w:sz w:val="24"/>
          <w:szCs w:val="24"/>
        </w:rPr>
        <w:t>. В подпункте 1 пункта 4.8.2. слово "(надзорного)" - исключить;</w:t>
      </w:r>
    </w:p>
    <w:p w14:paraId="3AC56E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1.1.9. Раздел 5 "Досудебное обжалование" изложить в следующей редакции:</w:t>
      </w:r>
    </w:p>
    <w:p w14:paraId="05A28B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"5. Досудебное обжалование</w:t>
      </w:r>
    </w:p>
    <w:p w14:paraId="4C6B0FE7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Решения администрации,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  № 248-ФЗ.</w:t>
      </w:r>
    </w:p>
    <w:p w14:paraId="69025522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06E107CE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48386C4B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64527BD6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действий (бездействия) должностных лиц, уполномоченных осуществлять муниципальный жилищный контроль, в рамках контрольных мероприятий и обязательных профилактических визитов;</w:t>
      </w:r>
    </w:p>
    <w:p w14:paraId="506AF4D4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решений об отказе в проведении обязательных профилактических визитов по заявлениям контролируемых лиц;</w:t>
      </w:r>
    </w:p>
    <w:p w14:paraId="0DF5EAD5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иных решений, принимаемых администрацией по итогам профилактических и (или) контрольных мероприятий, предусмотренных Федеральным законом  № 248-ФЗ, в отношении контролируемых лиц или объектов контроля.</w:t>
      </w:r>
    </w:p>
    <w:p w14:paraId="2719D2E5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Жалоба подается контролируемым лицом в администрацию в электронном виде с использованием единого портала государственных и муниципальных услуг</w:t>
      </w:r>
      <w:r>
        <w:rPr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услуг.</w:t>
      </w:r>
    </w:p>
    <w:p w14:paraId="60DAEDAE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муниципального образования с предварительным информированием главы муниципального образования о наличии в жалобе (документах) сведений, составляющих государственную или иную охраняемую законом тайну.</w:t>
      </w:r>
    </w:p>
    <w:p w14:paraId="3454633A">
      <w:pPr>
        <w:pStyle w:val="56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5.4. Жалоба на решение администрации, действия (бездействие) его должностных лиц рассматривается главой (заместителем главы) муниципального образования.</w:t>
      </w:r>
    </w:p>
    <w:p w14:paraId="7592235C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Жалоба на решение администрации, принятое главой муниципального образования, действие (бездействие) главы муниципального образования рассматривается главой муниципального образования.</w:t>
      </w:r>
    </w:p>
    <w:p w14:paraId="5619D722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738B00F4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6B7DDD5B">
      <w:pPr>
        <w:pStyle w:val="56"/>
        <w:ind w:firstLine="567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5.6. </w:t>
      </w:r>
      <w:r>
        <w:rPr>
          <w:color w:val="22272F"/>
          <w:sz w:val="24"/>
          <w:szCs w:val="24"/>
          <w:shd w:val="clear" w:color="auto" w:fill="FFFFFF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54FB367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Жалоба на решение администрации, действия (бездействие) его должностных лиц подлежит рассмотрению в течение 15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 дня ее регистрации.</w:t>
      </w:r>
    </w:p>
    <w:p w14:paraId="0EC4A6AA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530BB884">
      <w:pPr>
        <w:pStyle w:val="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допускается.".</w:t>
      </w:r>
    </w:p>
    <w:p w14:paraId="6767513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208295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A0D5D7E">
      <w:pPr>
        <w:pStyle w:val="39"/>
        <w:ind w:firstLine="567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2. Опубликовать настоящее решение в периодическом печатном издании "Сельские вести" и разместить на официальном сайте администрации Шурыгинского сельсовета   Черепановского района Новосибирской области.</w:t>
      </w:r>
    </w:p>
    <w:p w14:paraId="207DC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8A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876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Шурыгинского сельсовета </w:t>
      </w:r>
    </w:p>
    <w:p w14:paraId="3EFD1F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Черепановского района </w:t>
      </w:r>
    </w:p>
    <w:p w14:paraId="4A83B0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Новосибирской области                                                                           Е.А.Мумбер</w:t>
      </w:r>
    </w:p>
    <w:p w14:paraId="5B8A1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09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10A7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депутатов </w:t>
      </w:r>
    </w:p>
    <w:p w14:paraId="49DF3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Шурыгинского сельсовета </w:t>
      </w:r>
    </w:p>
    <w:p w14:paraId="4236B8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Черепановского района </w:t>
      </w:r>
    </w:p>
    <w:p w14:paraId="302877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Новосибирской области                                                                     Н.М.Апанасенко</w:t>
      </w:r>
    </w:p>
    <w:p w14:paraId="1B0AE903">
      <w:pPr>
        <w:spacing w:after="0" w:line="240" w:lineRule="auto"/>
        <w:outlineLvl w:val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</w:p>
    <w:sectPr>
      <w:headerReference r:id="rId10" w:type="first"/>
      <w:headerReference r:id="rId8" w:type="default"/>
      <w:footerReference r:id="rId11" w:type="default"/>
      <w:headerReference r:id="rId9" w:type="even"/>
      <w:type w:val="nextColumn"/>
      <w:pgSz w:w="16840" w:h="11900" w:orient="landscape"/>
      <w:pgMar w:top="1134" w:right="567" w:bottom="1134" w:left="141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7635186"/>
      <w:docPartObj>
        <w:docPartGallery w:val="autotext"/>
      </w:docPartObj>
    </w:sdtPr>
    <w:sdtContent>
      <w:p w14:paraId="1A8B3AAE">
        <w:pPr>
          <w:pStyle w:val="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38</w:t>
        </w:r>
        <w:r>
          <w:fldChar w:fldCharType="end"/>
        </w:r>
      </w:p>
    </w:sdtContent>
  </w:sdt>
  <w:p w14:paraId="5B496EEF"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ECD19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E768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52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1C24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38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8359E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955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A3F88"/>
    <w:multiLevelType w:val="multilevel"/>
    <w:tmpl w:val="44CA3F88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E6068D"/>
    <w:multiLevelType w:val="multilevel"/>
    <w:tmpl w:val="61E6068D"/>
    <w:lvl w:ilvl="0" w:tentative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4E"/>
    <w:rsid w:val="00013DEE"/>
    <w:rsid w:val="00026D40"/>
    <w:rsid w:val="0004746D"/>
    <w:rsid w:val="00053CEF"/>
    <w:rsid w:val="00053D73"/>
    <w:rsid w:val="0006376A"/>
    <w:rsid w:val="00095CF5"/>
    <w:rsid w:val="000B12AA"/>
    <w:rsid w:val="000B79B2"/>
    <w:rsid w:val="000D2F6A"/>
    <w:rsid w:val="000E1142"/>
    <w:rsid w:val="000F1CB0"/>
    <w:rsid w:val="00103999"/>
    <w:rsid w:val="00106907"/>
    <w:rsid w:val="001234CB"/>
    <w:rsid w:val="00124263"/>
    <w:rsid w:val="00135DA5"/>
    <w:rsid w:val="00147FB9"/>
    <w:rsid w:val="00151148"/>
    <w:rsid w:val="001611A6"/>
    <w:rsid w:val="00165794"/>
    <w:rsid w:val="001707DA"/>
    <w:rsid w:val="00173A5F"/>
    <w:rsid w:val="0018417E"/>
    <w:rsid w:val="00186823"/>
    <w:rsid w:val="001B072B"/>
    <w:rsid w:val="001B46D3"/>
    <w:rsid w:val="001B61DE"/>
    <w:rsid w:val="001E1FE3"/>
    <w:rsid w:val="001E4929"/>
    <w:rsid w:val="001F5520"/>
    <w:rsid w:val="001F6D31"/>
    <w:rsid w:val="002104F8"/>
    <w:rsid w:val="0021603F"/>
    <w:rsid w:val="00222F8A"/>
    <w:rsid w:val="002236E7"/>
    <w:rsid w:val="00223F43"/>
    <w:rsid w:val="00226C10"/>
    <w:rsid w:val="002306A3"/>
    <w:rsid w:val="00240EB3"/>
    <w:rsid w:val="0024489C"/>
    <w:rsid w:val="00253924"/>
    <w:rsid w:val="00254316"/>
    <w:rsid w:val="00260336"/>
    <w:rsid w:val="0026277F"/>
    <w:rsid w:val="002639BD"/>
    <w:rsid w:val="00266EA1"/>
    <w:rsid w:val="00282731"/>
    <w:rsid w:val="00294B00"/>
    <w:rsid w:val="002A1D5F"/>
    <w:rsid w:val="002B1DB7"/>
    <w:rsid w:val="002D0913"/>
    <w:rsid w:val="002D5B60"/>
    <w:rsid w:val="002D671A"/>
    <w:rsid w:val="002E2D41"/>
    <w:rsid w:val="002E3371"/>
    <w:rsid w:val="002E582B"/>
    <w:rsid w:val="00303452"/>
    <w:rsid w:val="00334E07"/>
    <w:rsid w:val="00346349"/>
    <w:rsid w:val="0035611B"/>
    <w:rsid w:val="00364702"/>
    <w:rsid w:val="003730BC"/>
    <w:rsid w:val="00374E3E"/>
    <w:rsid w:val="00376687"/>
    <w:rsid w:val="003919CB"/>
    <w:rsid w:val="003B4811"/>
    <w:rsid w:val="003C4EE3"/>
    <w:rsid w:val="003E62F4"/>
    <w:rsid w:val="003F1F11"/>
    <w:rsid w:val="004160A4"/>
    <w:rsid w:val="00417BC2"/>
    <w:rsid w:val="004377E9"/>
    <w:rsid w:val="0044156F"/>
    <w:rsid w:val="00442686"/>
    <w:rsid w:val="00467697"/>
    <w:rsid w:val="00470831"/>
    <w:rsid w:val="00475AF2"/>
    <w:rsid w:val="0049460C"/>
    <w:rsid w:val="004C286A"/>
    <w:rsid w:val="004E4447"/>
    <w:rsid w:val="00523F37"/>
    <w:rsid w:val="00527DB2"/>
    <w:rsid w:val="00537993"/>
    <w:rsid w:val="00540A74"/>
    <w:rsid w:val="00550BBC"/>
    <w:rsid w:val="005678D4"/>
    <w:rsid w:val="0057097E"/>
    <w:rsid w:val="0057689C"/>
    <w:rsid w:val="00580C39"/>
    <w:rsid w:val="00580CA9"/>
    <w:rsid w:val="0059754B"/>
    <w:rsid w:val="005B1579"/>
    <w:rsid w:val="005B2796"/>
    <w:rsid w:val="005D4489"/>
    <w:rsid w:val="005D4ECA"/>
    <w:rsid w:val="005D753F"/>
    <w:rsid w:val="00602335"/>
    <w:rsid w:val="006118A5"/>
    <w:rsid w:val="0062575E"/>
    <w:rsid w:val="0062768D"/>
    <w:rsid w:val="0063572E"/>
    <w:rsid w:val="0065314A"/>
    <w:rsid w:val="00656BD0"/>
    <w:rsid w:val="00656EE2"/>
    <w:rsid w:val="006616CF"/>
    <w:rsid w:val="00661F60"/>
    <w:rsid w:val="006B393E"/>
    <w:rsid w:val="006C4D14"/>
    <w:rsid w:val="006C79DE"/>
    <w:rsid w:val="007071A8"/>
    <w:rsid w:val="00710285"/>
    <w:rsid w:val="007200A5"/>
    <w:rsid w:val="007255A7"/>
    <w:rsid w:val="00726F25"/>
    <w:rsid w:val="00731F14"/>
    <w:rsid w:val="00737A83"/>
    <w:rsid w:val="00745453"/>
    <w:rsid w:val="00745529"/>
    <w:rsid w:val="00755BB8"/>
    <w:rsid w:val="00766020"/>
    <w:rsid w:val="0076741B"/>
    <w:rsid w:val="00767D04"/>
    <w:rsid w:val="0078618C"/>
    <w:rsid w:val="00790ABC"/>
    <w:rsid w:val="00790DD0"/>
    <w:rsid w:val="007A0416"/>
    <w:rsid w:val="007A4138"/>
    <w:rsid w:val="007A41B3"/>
    <w:rsid w:val="007A70BF"/>
    <w:rsid w:val="007B3D0E"/>
    <w:rsid w:val="007B4617"/>
    <w:rsid w:val="007B5FAC"/>
    <w:rsid w:val="007B7F4F"/>
    <w:rsid w:val="007D0163"/>
    <w:rsid w:val="007D59AD"/>
    <w:rsid w:val="007E1E96"/>
    <w:rsid w:val="007F3422"/>
    <w:rsid w:val="007F3B30"/>
    <w:rsid w:val="00804BE0"/>
    <w:rsid w:val="00811689"/>
    <w:rsid w:val="00816377"/>
    <w:rsid w:val="00827933"/>
    <w:rsid w:val="00832CEA"/>
    <w:rsid w:val="00847EF4"/>
    <w:rsid w:val="00862DB3"/>
    <w:rsid w:val="008676FE"/>
    <w:rsid w:val="00875339"/>
    <w:rsid w:val="008866FC"/>
    <w:rsid w:val="008974C4"/>
    <w:rsid w:val="008A2680"/>
    <w:rsid w:val="008A4561"/>
    <w:rsid w:val="008A60F9"/>
    <w:rsid w:val="008D479A"/>
    <w:rsid w:val="008D6535"/>
    <w:rsid w:val="008D6DD9"/>
    <w:rsid w:val="008E3A9A"/>
    <w:rsid w:val="00912169"/>
    <w:rsid w:val="00917576"/>
    <w:rsid w:val="00924FD1"/>
    <w:rsid w:val="0093177F"/>
    <w:rsid w:val="009347F0"/>
    <w:rsid w:val="00944965"/>
    <w:rsid w:val="009458FF"/>
    <w:rsid w:val="00946F3B"/>
    <w:rsid w:val="00947433"/>
    <w:rsid w:val="00961A37"/>
    <w:rsid w:val="00991BC8"/>
    <w:rsid w:val="009A1620"/>
    <w:rsid w:val="009A41E3"/>
    <w:rsid w:val="009B0BF9"/>
    <w:rsid w:val="009B3F15"/>
    <w:rsid w:val="009D0F5B"/>
    <w:rsid w:val="009D56D6"/>
    <w:rsid w:val="009F6C66"/>
    <w:rsid w:val="009F72FC"/>
    <w:rsid w:val="00A204FD"/>
    <w:rsid w:val="00A24482"/>
    <w:rsid w:val="00A247FE"/>
    <w:rsid w:val="00A2661B"/>
    <w:rsid w:val="00A4499E"/>
    <w:rsid w:val="00A50D4E"/>
    <w:rsid w:val="00A607B5"/>
    <w:rsid w:val="00A62218"/>
    <w:rsid w:val="00A732C6"/>
    <w:rsid w:val="00A906F8"/>
    <w:rsid w:val="00A91E59"/>
    <w:rsid w:val="00AA0CAE"/>
    <w:rsid w:val="00AA75CD"/>
    <w:rsid w:val="00AC1763"/>
    <w:rsid w:val="00AE32D9"/>
    <w:rsid w:val="00AE6DD7"/>
    <w:rsid w:val="00AF1082"/>
    <w:rsid w:val="00AF2450"/>
    <w:rsid w:val="00B06D94"/>
    <w:rsid w:val="00B119A5"/>
    <w:rsid w:val="00B20677"/>
    <w:rsid w:val="00B21147"/>
    <w:rsid w:val="00B21358"/>
    <w:rsid w:val="00B369FE"/>
    <w:rsid w:val="00B41648"/>
    <w:rsid w:val="00B46569"/>
    <w:rsid w:val="00B50BCA"/>
    <w:rsid w:val="00B57749"/>
    <w:rsid w:val="00B65150"/>
    <w:rsid w:val="00B871A9"/>
    <w:rsid w:val="00B9175D"/>
    <w:rsid w:val="00B92DE9"/>
    <w:rsid w:val="00B94130"/>
    <w:rsid w:val="00BA4E39"/>
    <w:rsid w:val="00BB4980"/>
    <w:rsid w:val="00BC0680"/>
    <w:rsid w:val="00BC45EF"/>
    <w:rsid w:val="00BE3B1E"/>
    <w:rsid w:val="00BE6B93"/>
    <w:rsid w:val="00BF18CC"/>
    <w:rsid w:val="00BF6F7B"/>
    <w:rsid w:val="00C12B4E"/>
    <w:rsid w:val="00C24B67"/>
    <w:rsid w:val="00C254F1"/>
    <w:rsid w:val="00C3639A"/>
    <w:rsid w:val="00C412C8"/>
    <w:rsid w:val="00C44F17"/>
    <w:rsid w:val="00C51E4E"/>
    <w:rsid w:val="00C54849"/>
    <w:rsid w:val="00C56229"/>
    <w:rsid w:val="00C738D8"/>
    <w:rsid w:val="00C77A6E"/>
    <w:rsid w:val="00C923B6"/>
    <w:rsid w:val="00CA6961"/>
    <w:rsid w:val="00CD2840"/>
    <w:rsid w:val="00CD3BBF"/>
    <w:rsid w:val="00CE1FF0"/>
    <w:rsid w:val="00CF0A1F"/>
    <w:rsid w:val="00CF6E3C"/>
    <w:rsid w:val="00D042C1"/>
    <w:rsid w:val="00D04D2F"/>
    <w:rsid w:val="00D07B09"/>
    <w:rsid w:val="00D107F6"/>
    <w:rsid w:val="00D12B95"/>
    <w:rsid w:val="00D25C38"/>
    <w:rsid w:val="00D43810"/>
    <w:rsid w:val="00D61093"/>
    <w:rsid w:val="00D62DFF"/>
    <w:rsid w:val="00D858BA"/>
    <w:rsid w:val="00D957BA"/>
    <w:rsid w:val="00DA3392"/>
    <w:rsid w:val="00DC2F78"/>
    <w:rsid w:val="00DF4742"/>
    <w:rsid w:val="00E03139"/>
    <w:rsid w:val="00E177A7"/>
    <w:rsid w:val="00E2304D"/>
    <w:rsid w:val="00E25902"/>
    <w:rsid w:val="00E26B96"/>
    <w:rsid w:val="00E37B12"/>
    <w:rsid w:val="00E4378A"/>
    <w:rsid w:val="00E43CAA"/>
    <w:rsid w:val="00E466D6"/>
    <w:rsid w:val="00E57CBE"/>
    <w:rsid w:val="00E83D48"/>
    <w:rsid w:val="00E95FB3"/>
    <w:rsid w:val="00EB045D"/>
    <w:rsid w:val="00EB2DF3"/>
    <w:rsid w:val="00EB5EF8"/>
    <w:rsid w:val="00EB79CE"/>
    <w:rsid w:val="00EE0DAD"/>
    <w:rsid w:val="00EE5CBC"/>
    <w:rsid w:val="00F127E8"/>
    <w:rsid w:val="00F14122"/>
    <w:rsid w:val="00F30964"/>
    <w:rsid w:val="00F4143F"/>
    <w:rsid w:val="00F54A4A"/>
    <w:rsid w:val="00F64F91"/>
    <w:rsid w:val="00F67DB1"/>
    <w:rsid w:val="00F753C1"/>
    <w:rsid w:val="00F7695D"/>
    <w:rsid w:val="00F83A0D"/>
    <w:rsid w:val="00F95065"/>
    <w:rsid w:val="00FC2857"/>
    <w:rsid w:val="00FC3AAC"/>
    <w:rsid w:val="00FC5A8E"/>
    <w:rsid w:val="00FD6D65"/>
    <w:rsid w:val="00FE2065"/>
    <w:rsid w:val="00FF24F5"/>
    <w:rsid w:val="10D9244B"/>
    <w:rsid w:val="17B74738"/>
    <w:rsid w:val="26F02B4E"/>
    <w:rsid w:val="2F45147F"/>
    <w:rsid w:val="6E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0"/>
    <w:qFormat/>
    <w:uiPriority w:val="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4">
    <w:name w:val="heading 7"/>
    <w:basedOn w:val="1"/>
    <w:next w:val="1"/>
    <w:link w:val="41"/>
    <w:qFormat/>
    <w:uiPriority w:val="0"/>
    <w:pPr>
      <w:keepNext/>
      <w:spacing w:after="0" w:line="240" w:lineRule="auto"/>
      <w:ind w:firstLine="360"/>
      <w:jc w:val="both"/>
      <w:outlineLvl w:val="6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age number"/>
    <w:basedOn w:val="5"/>
    <w:uiPriority w:val="0"/>
  </w:style>
  <w:style w:type="character" w:styleId="12">
    <w:name w:val="Strong"/>
    <w:basedOn w:val="5"/>
    <w:qFormat/>
    <w:uiPriority w:val="22"/>
    <w:rPr>
      <w:b/>
      <w:bCs/>
    </w:rPr>
  </w:style>
  <w:style w:type="paragraph" w:styleId="13">
    <w:name w:val="Balloon Text"/>
    <w:basedOn w:val="1"/>
    <w:link w:val="2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 Indent 3"/>
    <w:basedOn w:val="1"/>
    <w:link w:val="52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5">
    <w:name w:val="annotation text"/>
    <w:basedOn w:val="1"/>
    <w:link w:val="2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link w:val="29"/>
    <w:semiHidden/>
    <w:unhideWhenUsed/>
    <w:uiPriority w:val="99"/>
    <w:rPr>
      <w:b/>
      <w:bCs/>
    </w:rPr>
  </w:style>
  <w:style w:type="paragraph" w:styleId="17">
    <w:name w:val="Document Map"/>
    <w:basedOn w:val="1"/>
    <w:link w:val="45"/>
    <w:semiHidden/>
    <w:uiPriority w:val="0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18">
    <w:name w:val="header"/>
    <w:basedOn w:val="1"/>
    <w:link w:val="35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Body Text"/>
    <w:basedOn w:val="1"/>
    <w:link w:val="44"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20">
    <w:name w:val="Body Text Indent"/>
    <w:basedOn w:val="1"/>
    <w:link w:val="51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Title"/>
    <w:basedOn w:val="1"/>
    <w:link w:val="54"/>
    <w:qFormat/>
    <w:uiPriority w:val="1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2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">
    <w:name w:val="Body Text 3"/>
    <w:basedOn w:val="1"/>
    <w:link w:val="53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/>
      <w:sz w:val="20"/>
      <w:szCs w:val="20"/>
    </w:rPr>
  </w:style>
  <w:style w:type="table" w:styleId="26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Текст выноски Знак"/>
    <w:basedOn w:val="5"/>
    <w:link w:val="13"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Текст примечания Знак"/>
    <w:basedOn w:val="5"/>
    <w:link w:val="15"/>
    <w:semiHidden/>
    <w:qFormat/>
    <w:uiPriority w:val="99"/>
    <w:rPr>
      <w:sz w:val="20"/>
      <w:szCs w:val="20"/>
    </w:rPr>
  </w:style>
  <w:style w:type="character" w:customStyle="1" w:styleId="29">
    <w:name w:val="Тема примечания Знак"/>
    <w:basedOn w:val="28"/>
    <w:link w:val="16"/>
    <w:semiHidden/>
    <w:qFormat/>
    <w:uiPriority w:val="99"/>
    <w:rPr>
      <w:b/>
      <w:bCs/>
      <w:sz w:val="20"/>
      <w:szCs w:val="20"/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32">
    <w:name w:val="Знак Знак2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33">
    <w:name w:val="sfs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gratcopy"/>
    <w:basedOn w:val="5"/>
    <w:qFormat/>
    <w:uiPriority w:val="0"/>
  </w:style>
  <w:style w:type="character" w:customStyle="1" w:styleId="35">
    <w:name w:val="Верхний колонтитул Знак"/>
    <w:basedOn w:val="5"/>
    <w:link w:val="18"/>
    <w:qFormat/>
    <w:uiPriority w:val="0"/>
  </w:style>
  <w:style w:type="character" w:customStyle="1" w:styleId="36">
    <w:name w:val="Нижний колонтитул Знак"/>
    <w:basedOn w:val="5"/>
    <w:link w:val="22"/>
    <w:qFormat/>
    <w:uiPriority w:val="99"/>
  </w:style>
  <w:style w:type="character" w:customStyle="1" w:styleId="37">
    <w:name w:val="apple-converted-space"/>
    <w:basedOn w:val="5"/>
    <w:qFormat/>
    <w:uiPriority w:val="0"/>
  </w:style>
  <w:style w:type="paragraph" w:customStyle="1" w:styleId="38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39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40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1">
    <w:name w:val="Заголовок 7 Знак"/>
    <w:basedOn w:val="5"/>
    <w:link w:val="4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customStyle="1" w:styleId="42">
    <w:name w:val="Знак Знак2 Знак Знак Знак Знак Знак Знак Знак Знак1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table" w:customStyle="1" w:styleId="43">
    <w:name w:val="Сетка таблицы1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Знак"/>
    <w:basedOn w:val="5"/>
    <w:link w:val="19"/>
    <w:qFormat/>
    <w:uiPriority w:val="0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customStyle="1" w:styleId="45">
    <w:name w:val="Схема документа Знак"/>
    <w:basedOn w:val="5"/>
    <w:link w:val="17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customStyle="1" w:styleId="4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47">
    <w:name w:val="ConsPlusNormal Знак Знак"/>
    <w:link w:val="48"/>
    <w:qFormat/>
    <w:locked/>
    <w:uiPriority w:val="0"/>
    <w:rPr>
      <w:rFonts w:ascii="Arial" w:hAnsi="Arial" w:cs="Arial"/>
    </w:rPr>
  </w:style>
  <w:style w:type="paragraph" w:customStyle="1" w:styleId="48">
    <w:name w:val="ConsPlusNormal Знак"/>
    <w:link w:val="47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HAnsi"/>
      <w:sz w:val="22"/>
      <w:szCs w:val="22"/>
      <w:lang w:val="ru-RU" w:eastAsia="en-US" w:bidi="ar-SA"/>
    </w:rPr>
  </w:style>
  <w:style w:type="character" w:customStyle="1" w:styleId="49">
    <w:name w:val="Стиль1 Знак Знак"/>
    <w:qFormat/>
    <w:uiPriority w:val="0"/>
    <w:rPr>
      <w:rFonts w:hint="default" w:ascii="Arial" w:hAnsi="Arial" w:cs="Arial"/>
      <w:sz w:val="28"/>
      <w:szCs w:val="28"/>
      <w:lang w:val="ru-RU" w:eastAsia="ru-RU" w:bidi="ar-SA"/>
    </w:rPr>
  </w:style>
  <w:style w:type="character" w:customStyle="1" w:styleId="50">
    <w:name w:val="Стиль2 Знак Знак Знак Знак Знак Знак Знак Знак Знак Знак Знак Знак Знак Знак Знак Знак Знак Знак Знак Знак Знак"/>
    <w:uiPriority w:val="0"/>
    <w:rPr>
      <w:rFonts w:hint="default" w:ascii="Arial" w:hAnsi="Arial" w:cs="Arial"/>
      <w:strike/>
      <w:sz w:val="28"/>
      <w:szCs w:val="28"/>
      <w:lang w:val="ru-RU" w:eastAsia="ru-RU" w:bidi="ar-SA"/>
    </w:rPr>
  </w:style>
  <w:style w:type="character" w:customStyle="1" w:styleId="51">
    <w:name w:val="Основной текст с отступом Знак"/>
    <w:basedOn w:val="5"/>
    <w:link w:val="20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2">
    <w:name w:val="Основной текст с отступом 3 Знак"/>
    <w:basedOn w:val="5"/>
    <w:link w:val="14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53">
    <w:name w:val="Основной текст 3 Знак"/>
    <w:basedOn w:val="5"/>
    <w:link w:val="24"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54">
    <w:name w:val="Название Знак"/>
    <w:basedOn w:val="5"/>
    <w:link w:val="21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55">
    <w:name w:val="Абзац списка1"/>
    <w:basedOn w:val="1"/>
    <w:uiPriority w:val="0"/>
    <w:pPr>
      <w:ind w:left="720"/>
    </w:pPr>
    <w:rPr>
      <w:rFonts w:ascii="Calibri" w:hAnsi="Calibri" w:eastAsia="Times New Roman" w:cs="Times New Roman"/>
      <w:lang w:eastAsia="ru-RU"/>
    </w:rPr>
  </w:style>
  <w:style w:type="paragraph" w:customStyle="1" w:styleId="56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57">
    <w:name w:val="Знак Знак2 Знак Знак Знак Знак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customStyle="1" w:styleId="58">
    <w:name w:val="Название Знак1"/>
    <w:basedOn w:val="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9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60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1">
    <w:name w:val="xl63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62">
    <w:name w:val="xl64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63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64">
    <w:name w:val="xl66"/>
    <w:basedOn w:val="1"/>
    <w:uiPriority w:val="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5">
    <w:name w:val="xl67"/>
    <w:basedOn w:val="1"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6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7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8">
    <w:name w:val="xl7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9">
    <w:name w:val="xl7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0">
    <w:name w:val="xl72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customStyle="1" w:styleId="71">
    <w:name w:val="xl7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2">
    <w:name w:val="xl74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3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4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5">
    <w:name w:val="xl77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6">
    <w:name w:val="xl78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77">
    <w:name w:val="xl79"/>
    <w:basedOn w:val="1"/>
    <w:uiPriority w:val="0"/>
    <w:pPr>
      <w:pBdr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78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79">
    <w:name w:val="xl81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0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1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2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3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4">
    <w:name w:val="xl86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5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6">
    <w:name w:val="xl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7">
    <w:name w:val="xl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88">
    <w:name w:val="xl9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89">
    <w:name w:val="xl91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90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1">
    <w:name w:val="xl9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92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93">
    <w:name w:val="xl95"/>
    <w:basedOn w:val="1"/>
    <w:uiPriority w:val="0"/>
    <w:pPr>
      <w:pBdr>
        <w:lef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94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5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6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7">
    <w:name w:val="xl9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8">
    <w:name w:val="xl10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99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0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1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2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3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4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5">
    <w:name w:val="xl107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6">
    <w:name w:val="xl10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7">
    <w:name w:val="xl109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8">
    <w:name w:val="xl11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09">
    <w:name w:val="xl11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0">
    <w:name w:val="xl112"/>
    <w:basedOn w:val="1"/>
    <w:uiPriority w:val="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1">
    <w:name w:val="xl113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2">
    <w:name w:val="xl11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3">
    <w:name w:val="xl115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114">
    <w:name w:val="xl11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5">
    <w:name w:val="xl11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116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117">
    <w:name w:val="xl119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customStyle="1" w:styleId="11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9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F4AE-15A0-46F6-A20E-8672B58C9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29</Pages>
  <Words>6335</Words>
  <Characters>36115</Characters>
  <Lines>300</Lines>
  <Paragraphs>84</Paragraphs>
  <TotalTime>1</TotalTime>
  <ScaleCrop>false</ScaleCrop>
  <LinksUpToDate>false</LinksUpToDate>
  <CharactersWithSpaces>42366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2019-04-17T03:14:00Z</dcterms:created>
  <dc:creator>User</dc:creator>
  <cp:lastModifiedBy>user</cp:lastModifiedBy>
  <cp:lastPrinted>2019-05-20T04:10:00Z</cp:lastPrinted>
  <dcterms:modified xsi:type="dcterms:W3CDTF">2025-09-26T06:56:39Z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B3DBA1F29D16430598DDCBC8E22CD6A3_12</vt:lpwstr>
  </property>
</Properties>
</file>