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850BB">
        <w:t>247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850BB">
        <w:rPr>
          <w:color w:val="auto"/>
        </w:rPr>
        <w:t>506:38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850BB">
        <w:rPr>
          <w:color w:val="auto"/>
        </w:rPr>
        <w:t>3900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C850BB">
        <w:rPr>
          <w:color w:val="auto"/>
        </w:rPr>
        <w:t>н, с. Шурыгино, ул. Партизанская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C850BB">
        <w:rPr>
          <w:color w:val="auto"/>
        </w:rPr>
        <w:t>6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 xml:space="preserve">ул. </w:t>
      </w:r>
      <w:r w:rsidR="00C850BB">
        <w:rPr>
          <w:color w:val="auto"/>
        </w:rPr>
        <w:t>Партизанская</w:t>
      </w:r>
      <w:r>
        <w:rPr>
          <w:color w:val="auto"/>
        </w:rPr>
        <w:t xml:space="preserve">, земельный участок  </w:t>
      </w:r>
      <w:r w:rsidR="00C850BB">
        <w:rPr>
          <w:color w:val="auto"/>
        </w:rPr>
        <w:t>6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850BB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2024-12-02T04:47:00Z</dcterms:modified>
</cp:coreProperties>
</file>