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D509EA">
        <w:t>241</w:t>
      </w:r>
      <w:bookmarkStart w:id="0" w:name="_GoBack"/>
      <w:bookmarkEnd w:id="0"/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43063">
        <w:rPr>
          <w:color w:val="auto"/>
        </w:rPr>
        <w:t>504:86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43063">
        <w:rPr>
          <w:color w:val="auto"/>
        </w:rPr>
        <w:t>2000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843063">
        <w:rPr>
          <w:color w:val="auto"/>
        </w:rPr>
        <w:t>37</w:t>
      </w:r>
      <w:r w:rsidR="00DA7ABA">
        <w:rPr>
          <w:color w:val="auto"/>
        </w:rPr>
        <w:t>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843063">
        <w:rPr>
          <w:color w:val="auto"/>
        </w:rPr>
        <w:t xml:space="preserve"> Юбилейная, земельный участок 37/2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67A90"/>
    <w:rsid w:val="00874C53"/>
    <w:rsid w:val="008B31B7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509EA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37</cp:revision>
  <dcterms:created xsi:type="dcterms:W3CDTF">2024-10-16T08:28:00Z</dcterms:created>
  <dcterms:modified xsi:type="dcterms:W3CDTF">2024-11-29T02:31:00Z</dcterms:modified>
</cp:coreProperties>
</file>