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Default="00A50D4E" w:rsidP="00767D04">
      <w:pPr>
        <w:ind w:right="1953"/>
        <w:jc w:val="right"/>
      </w:pPr>
      <w:r>
        <w:rPr>
          <w:noProof/>
          <w:lang w:eastAsia="ru-RU"/>
        </w:rPr>
        <w:drawing>
          <wp:inline distT="0" distB="0" distL="0" distR="0" wp14:anchorId="47C14650" wp14:editId="5CB357C8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>
        <w:t xml:space="preserve">                             </w:t>
      </w:r>
      <w:r w:rsidR="00CF0A1F" w:rsidRPr="00CF0A1F">
        <w:t xml:space="preserve"> </w:t>
      </w:r>
    </w:p>
    <w:p w:rsidR="00346259" w:rsidRPr="00346259" w:rsidRDefault="00CF0A1F" w:rsidP="00346259">
      <w:pPr>
        <w:ind w:right="1953"/>
        <w:jc w:val="right"/>
        <w:rPr>
          <w:sz w:val="28"/>
          <w:szCs w:val="28"/>
        </w:rPr>
        <w:sectPr w:rsidR="00346259" w:rsidRPr="00346259" w:rsidSect="00A4499E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346259">
        <w:rPr>
          <w:sz w:val="28"/>
          <w:szCs w:val="28"/>
        </w:rPr>
        <w:t>42  от 08.12.2023</w:t>
      </w:r>
    </w:p>
    <w:p w:rsidR="00346259" w:rsidRPr="00346259" w:rsidRDefault="00CF0A1F" w:rsidP="00346259">
      <w:pPr>
        <w:pStyle w:val="1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3462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346259" w:rsidRPr="0034625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АДМИНИСТРАЦИЯ ШУРЫГИНСКОГО СЕЛЬСОВЕТА </w:t>
      </w:r>
    </w:p>
    <w:p w:rsidR="00346259" w:rsidRPr="00346259" w:rsidRDefault="00346259" w:rsidP="00346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346259" w:rsidRPr="00346259" w:rsidRDefault="00346259" w:rsidP="00346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6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  № 98</w:t>
      </w: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keepNext/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установлении критериев определения показателей, подлежащих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46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отражению в бюджетной отчетности</w:t>
      </w:r>
    </w:p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163, 167 и </w:t>
      </w:r>
      <w:hyperlink r:id="rId10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170.2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Федерации»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администрация Шурыгинского сельсовета Черепановского района Новосибирской области 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ПОСТАНОВЛЯЕТ: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отчетности, согласно приложению 1 к настоящему постановлению.</w:t>
      </w:r>
    </w:p>
    <w:p w:rsidR="00346259" w:rsidRPr="00346259" w:rsidRDefault="00346259" w:rsidP="0034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критерии, коды и наименование причины образования просроченной дебиторской, кредиторской задолженности в Сведениях по дебиторской и кредиторской задолженности </w:t>
      </w:r>
      <w:hyperlink r:id="rId11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0503169)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 к настоящему постановлению.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критерии определения показателей, подлежащих отражению в Сведениях о финансовых вложениях получателя бюджетных средств, администратора источников финансирования дефицита бюджета </w:t>
      </w:r>
      <w:hyperlink r:id="rId12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0503171)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3 к настоящему постановлению</w:t>
      </w:r>
      <w:proofErr w:type="gramStart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критерии, коды и наименование причин  неисполненных обязатель</w:t>
      </w:r>
      <w:proofErr w:type="gramStart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Св</w:t>
      </w:r>
      <w:proofErr w:type="gramEnd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едениях о принятых и неисполненных обязательствах получателя бюджетных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</w:t>
      </w:r>
      <w:hyperlink r:id="rId13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0503175)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4 к настоящему постановлению.</w:t>
      </w:r>
    </w:p>
    <w:p w:rsidR="00346259" w:rsidRDefault="00346259" w:rsidP="0034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Шурыгинского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 Черепановского района Новосибирской области Филиппи Л.Н.</w:t>
      </w:r>
    </w:p>
    <w:p w:rsidR="00346259" w:rsidRPr="00346259" w:rsidRDefault="00346259" w:rsidP="0034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Default="00346259" w:rsidP="003462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  <w:sectPr w:rsidR="00346259" w:rsidSect="00346259">
          <w:type w:val="continuous"/>
          <w:pgSz w:w="16838" w:h="11906" w:orient="landscape"/>
          <w:pgMar w:top="1134" w:right="567" w:bottom="1134" w:left="1418" w:header="709" w:footer="709" w:gutter="0"/>
          <w:cols w:num="2" w:space="708"/>
          <w:docGrid w:linePitch="360"/>
        </w:sectPr>
      </w:pP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Шурыгинского сельсовета </w:t>
      </w: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Л.Н. Филиппи</w:t>
      </w: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                 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Приложение 1 </w:t>
      </w:r>
    </w:p>
    <w:p w:rsid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к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постановлению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Шурыгинского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Черепановского района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Новосибирской области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04.12.2023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98</w:t>
      </w:r>
    </w:p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spellStart"/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ритерии</w:t>
      </w:r>
      <w:proofErr w:type="spellEnd"/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</w:t>
      </w:r>
    </w:p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«Доходы бюджета» отражаются показатели, по которым исполнение на отчетную дату не соответствуют плановым. При этом по показателям, не содержащим плановые назначения, раздел «Доходы бюджета» не заполняется; 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«Расходы бюджета»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 с учетом изменений на отчетную дату</w:t>
      </w:r>
      <w:proofErr w:type="gramEnd"/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3 «Источники финансирования дефицита бюджета» отражаются показатели, по которым имеются отклонения от утвержденных годовых назначений с учетом изменений на отчетную дату.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Коды и наименование причин отклонений от планового процента исполнения в Сведениях об исполнении бюджета (ф.0503164).</w:t>
      </w:r>
    </w:p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846"/>
        <w:gridCol w:w="13466"/>
      </w:tblGrid>
      <w:tr w:rsidR="00346259" w:rsidRPr="00346259" w:rsidTr="00346259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46259" w:rsidRPr="00346259" w:rsidTr="00346259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нормативных документов, определяющих порядок выделения и (или) использования средств бюджетов;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открытого акционерного общества от проведения эмиссии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взноса в соответствии с произведенной эмиссией акций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Экономия, сложившаяся по результатам проведения конкурсных процедур</w:t>
            </w:r>
          </w:p>
        </w:tc>
      </w:tr>
      <w:tr w:rsidR="00346259" w:rsidRPr="00346259" w:rsidTr="00346259">
        <w:trPr>
          <w:trHeight w:val="63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      </w:r>
          </w:p>
        </w:tc>
      </w:tr>
      <w:tr w:rsidR="00346259" w:rsidRPr="00346259" w:rsidTr="00346259">
        <w:trPr>
          <w:trHeight w:val="8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</w:t>
            </w:r>
          </w:p>
        </w:tc>
      </w:tr>
      <w:tr w:rsidR="00346259" w:rsidRPr="00346259" w:rsidTr="00346259">
        <w:trPr>
          <w:trHeight w:val="76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подрядными организациями сроков исполнения и иных условий контрактов, не повлекшее судебные процедуры</w:t>
            </w:r>
          </w:p>
        </w:tc>
      </w:tr>
      <w:tr w:rsidR="00346259" w:rsidRPr="00346259" w:rsidTr="00346259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подрядными организациями сроков исполнения и иных условий контрактов, повлекшее судебные процедуры</w:t>
            </w:r>
          </w:p>
        </w:tc>
      </w:tr>
      <w:tr w:rsidR="00346259" w:rsidRPr="00346259" w:rsidTr="00346259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Несвоевременность представления исполнителями работ (поставщиками, подрядчиками) документов для расчетов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работ «по факту» на основании актов выполненных работ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Невыполнение публично-правовым образованием обязательств по </w:t>
            </w:r>
            <w:proofErr w:type="gram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долевому</w:t>
            </w:r>
            <w:proofErr w:type="gramEnd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софинансированию</w:t>
            </w:r>
            <w:proofErr w:type="spellEnd"/>
          </w:p>
        </w:tc>
      </w:tr>
      <w:tr w:rsidR="00346259" w:rsidRPr="00346259" w:rsidTr="00346259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      </w:r>
          </w:p>
        </w:tc>
      </w:tr>
      <w:tr w:rsidR="00346259" w:rsidRPr="00346259" w:rsidTr="00346259">
        <w:trPr>
          <w:trHeight w:val="71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организациями.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сроков реализации международных проектов (программ)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разница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реорганизационных мероприятий</w:t>
            </w:r>
          </w:p>
        </w:tc>
      </w:tr>
      <w:tr w:rsidR="00346259" w:rsidRPr="00346259" w:rsidTr="00346259">
        <w:trPr>
          <w:trHeight w:val="15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решений соответственно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образования, местной администрации (исполнительно-распорядительного органа муниципального образования) об использовании бюджетных ассигнований</w:t>
            </w:r>
          </w:p>
        </w:tc>
      </w:tr>
      <w:tr w:rsidR="00346259" w:rsidRPr="00346259" w:rsidTr="00346259">
        <w:trPr>
          <w:trHeight w:val="64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Заявительный характер субсидирования организаций, производителей товаров, работ и услуг</w:t>
            </w:r>
          </w:p>
        </w:tc>
      </w:tr>
      <w:tr w:rsidR="00346259" w:rsidRPr="00346259" w:rsidTr="00346259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организациями-получателями субсидий некорректного (неполного) пакета документов для осуществления выплат</w:t>
            </w:r>
          </w:p>
        </w:tc>
      </w:tr>
      <w:tr w:rsidR="00346259" w:rsidRPr="00346259" w:rsidTr="00346259">
        <w:trPr>
          <w:trHeight w:val="41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Заявительный характер выплаты пособий и компенсаций</w:t>
            </w:r>
          </w:p>
        </w:tc>
      </w:tr>
      <w:tr w:rsidR="00346259" w:rsidRPr="00346259" w:rsidTr="00346259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запланированной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гарантийных случаев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проведения конкурсных процедур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проектно-сметной документации</w:t>
            </w:r>
          </w:p>
        </w:tc>
      </w:tr>
      <w:tr w:rsidR="00346259" w:rsidRPr="00346259" w:rsidTr="00346259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иных ограничений по финансированию строек и объектов, включенных в адресную инвестиционную программу (федеральную адресную инвестиционную программу)</w:t>
            </w:r>
          </w:p>
        </w:tc>
      </w:tr>
      <w:tr w:rsidR="00346259" w:rsidRPr="00346259" w:rsidTr="00346259">
        <w:trPr>
          <w:trHeight w:val="84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внесения изменений в целевые программы (федеральные целевые программы) и (или) по адресной инвестиционной программе (федеральной адресной инвестиционной программе)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Сезонность осуществления расходов</w:t>
            </w:r>
          </w:p>
        </w:tc>
      </w:tr>
      <w:tr w:rsidR="00346259" w:rsidRPr="00346259" w:rsidTr="00346259">
        <w:trPr>
          <w:trHeight w:val="61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процедур проведения эмиссии акций и передачи их в собственность публично-правового образования</w:t>
            </w:r>
          </w:p>
        </w:tc>
      </w:tr>
      <w:tr w:rsidR="00346259" w:rsidRPr="00346259" w:rsidTr="00346259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взносов в уставные капиталы акционерных обще</w:t>
            </w:r>
            <w:proofErr w:type="gram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 ср</w:t>
            </w:r>
            <w:proofErr w:type="gramEnd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оки, предусмотренные договорами (соглашениями)</w:t>
            </w:r>
          </w:p>
        </w:tc>
      </w:tr>
      <w:tr w:rsidR="00346259" w:rsidRPr="00346259" w:rsidTr="00346259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конкурсного отбора публично-правовых образований</w:t>
            </w:r>
          </w:p>
        </w:tc>
      </w:tr>
      <w:tr w:rsidR="00346259" w:rsidRPr="00346259" w:rsidTr="00346259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соглашений с публично-правовым образованием</w:t>
            </w:r>
          </w:p>
        </w:tc>
      </w:tr>
      <w:tr w:rsidR="00346259" w:rsidRPr="00346259" w:rsidTr="00346259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проектных процедур международных финансовых организаций, в соответствии с которыми расходование средств осуществляется в конце года</w:t>
            </w:r>
          </w:p>
        </w:tc>
      </w:tr>
      <w:tr w:rsidR="00346259" w:rsidRPr="00346259" w:rsidTr="00346259">
        <w:trPr>
          <w:trHeight w:val="42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Экономия, сложившаяся по результатам выполнения работ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условия, препятствующие должному исполнению контракта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 доведение (перераспределение) денежных средств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объемов выплат по отпускам (академическим, декретным)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остатков в связи с применением регрессивной шкалы по страховым взносам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Изменением численности получателей денежных средств (сотрудников, студентов, аспирантов)</w:t>
            </w:r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Невыполнение муниципальными образованиями обязательств по </w:t>
            </w:r>
            <w:proofErr w:type="gram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долевому</w:t>
            </w:r>
            <w:proofErr w:type="gramEnd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софинансированию</w:t>
            </w:r>
            <w:proofErr w:type="spellEnd"/>
          </w:p>
        </w:tc>
      </w:tr>
      <w:tr w:rsidR="00346259" w:rsidRPr="00346259" w:rsidTr="0034625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решений Правительства Новосибирской области об использовании бюджетных ассигнований</w:t>
            </w:r>
          </w:p>
        </w:tc>
      </w:tr>
      <w:tr w:rsidR="00346259" w:rsidRPr="00346259" w:rsidTr="00346259">
        <w:trPr>
          <w:trHeight w:val="6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внесения изменений в государственные и ведомственные целевые программы</w:t>
            </w:r>
          </w:p>
        </w:tc>
      </w:tr>
      <w:tr w:rsidR="00346259" w:rsidRPr="00346259" w:rsidTr="00346259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процедур проведения эмиссий акций и передачи их в собственность Новосибирской области</w:t>
            </w:r>
          </w:p>
        </w:tc>
      </w:tr>
      <w:tr w:rsidR="00346259" w:rsidRPr="00346259" w:rsidTr="00346259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конкурсного отбора муниципальных образований</w:t>
            </w:r>
          </w:p>
        </w:tc>
      </w:tr>
      <w:tr w:rsidR="00346259" w:rsidRPr="00346259" w:rsidTr="00346259">
        <w:trPr>
          <w:trHeight w:val="41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соглашений с муниципальными образованиями</w:t>
            </w:r>
          </w:p>
        </w:tc>
      </w:tr>
      <w:tr w:rsidR="00346259" w:rsidRPr="00346259" w:rsidTr="0034625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причины</w:t>
            </w:r>
          </w:p>
        </w:tc>
      </w:tr>
    </w:tbl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Приложение 2 </w:t>
      </w:r>
    </w:p>
    <w:p w:rsid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к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постановлению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Шурыгинского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Черепановского района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Новосибирской области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04.12.2023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98</w:t>
      </w: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Критерии, коды и наименование причины образования просроченной </w:t>
      </w: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дебиторской, кредиторской задолженности в Сведениях по дебиторской и кредиторской задолженности </w:t>
      </w:r>
      <w:hyperlink r:id="rId14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0503169)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 Сведений по дебиторской и кредиторской задолженности (код формы по </w:t>
      </w:r>
      <w:hyperlink r:id="rId15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ОКУД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0503169) подлежат отражению показатели просроченной задолженности в размере, превышающем 100 000 рублей.</w:t>
      </w:r>
    </w:p>
    <w:p w:rsidR="00346259" w:rsidRPr="00346259" w:rsidRDefault="00346259" w:rsidP="003462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графах 7 и 8 </w:t>
      </w:r>
      <w:hyperlink r:id="rId16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(ф. 0503169) отражаются соответственно код и наименование причины, повлиявшей на наличие просроченной дебиторской (кредиторской) задолженности:</w:t>
      </w:r>
    </w:p>
    <w:p w:rsidR="00346259" w:rsidRPr="00346259" w:rsidRDefault="00346259" w:rsidP="003462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988"/>
        <w:gridCol w:w="13324"/>
      </w:tblGrid>
      <w:tr w:rsidR="00346259" w:rsidRPr="00346259" w:rsidTr="00346259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46259" w:rsidRPr="00346259" w:rsidTr="00346259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банкротство контрагента (поставщика, исполнителя работ, услуг)</w:t>
            </w:r>
          </w:p>
        </w:tc>
      </w:tr>
      <w:tr w:rsidR="00346259" w:rsidRPr="00346259" w:rsidTr="003462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банкротство налогоплательщика</w:t>
            </w:r>
          </w:p>
        </w:tc>
      </w:tr>
      <w:tr w:rsidR="00346259" w:rsidRPr="00346259" w:rsidTr="00346259">
        <w:trPr>
          <w:trHeight w:val="5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346259" w:rsidRPr="00346259" w:rsidTr="00346259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346259" w:rsidRPr="00346259" w:rsidTr="00346259">
        <w:trPr>
          <w:trHeight w:val="35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причины возникновения просроченной кредиторской задолженности</w:t>
            </w:r>
          </w:p>
        </w:tc>
      </w:tr>
      <w:tr w:rsidR="00346259" w:rsidRPr="00346259" w:rsidTr="00346259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физического лица,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      </w:r>
          </w:p>
        </w:tc>
      </w:tr>
      <w:tr w:rsidR="00346259" w:rsidRPr="00346259" w:rsidTr="00346259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346259" w:rsidRPr="00346259" w:rsidTr="00346259">
        <w:trPr>
          <w:trHeight w:val="14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банкротство плательщика  платежей в бюджет (налогоплательщика) в части задолженности по платежам в бюджет, не погашенным по причине недостаточности имущества должника и (или) невозможности их погашения учредителями (участниками) организации в пределах и порядке, которые установлены законодательством Российской Федерации</w:t>
            </w:r>
          </w:p>
        </w:tc>
      </w:tr>
      <w:tr w:rsidR="00346259" w:rsidRPr="00346259" w:rsidTr="00346259">
        <w:trPr>
          <w:trHeight w:val="69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судебного акта, в соответствии с которым администратор доходов бюджета утрачивает возможность взыскания задолженности по платежам в бюджет</w:t>
            </w:r>
          </w:p>
        </w:tc>
      </w:tr>
      <w:tr w:rsidR="00346259" w:rsidRPr="00346259" w:rsidTr="00346259">
        <w:trPr>
          <w:trHeight w:val="97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  <w:p w:rsid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</w:t>
            </w:r>
          </w:p>
        </w:tc>
      </w:tr>
      <w:tr w:rsidR="00346259" w:rsidRPr="00346259" w:rsidTr="00346259">
        <w:trPr>
          <w:trHeight w:val="57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причины возникновения просроченной дебиторской задолженности (дополнительная информация раскрывается в текстовой части Пояснительной записки)</w:t>
            </w:r>
          </w:p>
        </w:tc>
      </w:tr>
    </w:tbl>
    <w:p w:rsidR="00346259" w:rsidRPr="00346259" w:rsidRDefault="00346259" w:rsidP="003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Приложение3 </w:t>
      </w:r>
    </w:p>
    <w:p w:rsid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к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постановлению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Шурыгинского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сельсовета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Черепановского района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Новосибирской области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04.12.2023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98</w:t>
      </w: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Критерии определения показателей, подлежащих отражению в Сведения о финансовых вложениях получателя бюджетных средств, администратора источников финансирования дефицита бюджета </w:t>
      </w:r>
      <w:hyperlink r:id="rId17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(ф. 0503171)</w:t>
        </w:r>
      </w:hyperlink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Отражению в Сведениях о финансовых вложениях получателя бюджетных средств, администратора источников финансирования дефицита бюджета                   </w:t>
      </w:r>
      <w:hyperlink r:id="rId18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0503171)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Сведения (ф.0503171)</w:t>
      </w:r>
      <w:proofErr w:type="gramStart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показатели, сформированные за отчетный период в разрезе каждой суммы финансового вложения, номера (кода) счета бюджета учета, вида финансового вложения, кода финансового вложения, наименования эмитентов и их кодов по ИНН/ОКМС.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3, 4   Сведений (ф.0503171) указываются соответственно вид и код финансового вложения: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аналитического учета счета 020400000 "Финансовые вложения":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8505"/>
      </w:tblGrid>
      <w:tr w:rsidR="00346259" w:rsidRPr="00346259" w:rsidTr="00346259">
        <w:trPr>
          <w:trHeight w:val="1061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(код) счета бюджетного учета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финансового вложения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финансового вложения</w:t>
            </w:r>
          </w:p>
        </w:tc>
      </w:tr>
      <w:tr w:rsidR="00346259" w:rsidRPr="00346259" w:rsidTr="00346259">
        <w:trPr>
          <w:trHeight w:val="40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облигации</w:t>
            </w:r>
          </w:p>
        </w:tc>
      </w:tr>
      <w:tr w:rsidR="00346259" w:rsidRPr="00346259" w:rsidTr="00346259">
        <w:trPr>
          <w:trHeight w:val="40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векселя</w:t>
            </w:r>
          </w:p>
        </w:tc>
      </w:tr>
      <w:tr w:rsidR="00346259" w:rsidRPr="00346259" w:rsidTr="00346259">
        <w:trPr>
          <w:trHeight w:val="40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ценные бумаги, кроме акций</w:t>
            </w:r>
          </w:p>
        </w:tc>
      </w:tr>
      <w:tr w:rsidR="00346259" w:rsidRPr="00346259" w:rsidTr="00346259">
        <w:trPr>
          <w:trHeight w:val="40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</w:tr>
      <w:tr w:rsidR="00346259" w:rsidRPr="00346259" w:rsidTr="00346259">
        <w:trPr>
          <w:trHeight w:val="829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фонд государственных (муниципальных) предприятий</w:t>
            </w:r>
          </w:p>
        </w:tc>
      </w:tr>
      <w:tr w:rsidR="00346259" w:rsidRPr="00346259" w:rsidTr="00346259">
        <w:trPr>
          <w:trHeight w:val="48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государственных (муниципальных) учреждениях</w:t>
            </w:r>
          </w:p>
        </w:tc>
      </w:tr>
      <w:tr w:rsidR="00346259" w:rsidRPr="00346259" w:rsidTr="00346259">
        <w:trPr>
          <w:trHeight w:val="40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формы участия в капитале</w:t>
            </w:r>
          </w:p>
        </w:tc>
      </w:tr>
      <w:tr w:rsidR="00346259" w:rsidRPr="00346259" w:rsidTr="00346259">
        <w:trPr>
          <w:trHeight w:val="219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активы в управляющих компаниях</w:t>
            </w:r>
          </w:p>
        </w:tc>
      </w:tr>
      <w:tr w:rsidR="00346259" w:rsidRPr="00346259" w:rsidTr="00346259">
        <w:trPr>
          <w:trHeight w:val="829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 в международных организациях</w:t>
            </w:r>
          </w:p>
        </w:tc>
      </w:tr>
      <w:tr w:rsidR="00346259" w:rsidRPr="00346259" w:rsidTr="00346259">
        <w:trPr>
          <w:trHeight w:val="405"/>
        </w:trPr>
        <w:tc>
          <w:tcPr>
            <w:tcW w:w="492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1 204 ХХ ХХХ</w:t>
            </w:r>
          </w:p>
        </w:tc>
        <w:tc>
          <w:tcPr>
            <w:tcW w:w="1417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финансовые активы</w:t>
            </w:r>
          </w:p>
        </w:tc>
      </w:tr>
    </w:tbl>
    <w:p w:rsidR="00346259" w:rsidRPr="00346259" w:rsidRDefault="00346259" w:rsidP="002A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счету аналитического учета счета 021500000 "Вложения в финансовые активы»: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7229"/>
      </w:tblGrid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(код) счета бюджетного учета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финансового вложения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финансового вложения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вложения в облигации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векселя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ценные бумаги, кроме акций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вложения в акции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фонд государственных (муниципальных) предприятий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государственных (муниципальных) учреждениях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формы участия в капитале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вложения в активы в управляющих компаниях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 в международных организациях</w:t>
            </w:r>
          </w:p>
        </w:tc>
      </w:tr>
      <w:tr w:rsidR="00346259" w:rsidRPr="00346259" w:rsidTr="002A46DD">
        <w:tc>
          <w:tcPr>
            <w:tcW w:w="5353" w:type="dxa"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 0000000000 00 1 215 ХХ ХХХ</w:t>
            </w:r>
          </w:p>
        </w:tc>
        <w:tc>
          <w:tcPr>
            <w:tcW w:w="2268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29" w:type="dxa"/>
          </w:tcPr>
          <w:p w:rsidR="00346259" w:rsidRPr="00346259" w:rsidRDefault="00346259" w:rsidP="0034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финансовые активы</w:t>
            </w:r>
          </w:p>
        </w:tc>
      </w:tr>
    </w:tbl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46259" w:rsidRPr="00346259" w:rsidRDefault="00346259" w:rsidP="0034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Приложение 4 </w:t>
      </w:r>
    </w:p>
    <w:p w:rsidR="002A46DD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к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постановлению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Шурыгинского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сельсовета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Черепановского района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Новосибирской области </w:t>
      </w:r>
    </w:p>
    <w:p w:rsidR="00346259" w:rsidRPr="00346259" w:rsidRDefault="00346259" w:rsidP="0034625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04.12.2023 </w:t>
      </w:r>
      <w:r w:rsidRPr="003462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98</w:t>
      </w: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Критерии, коды и наименование причин  неисполненных обя</w:t>
      </w:r>
      <w:r w:rsidR="002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</w:t>
      </w:r>
      <w:proofErr w:type="gramStart"/>
      <w:r w:rsidR="002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      </w:t>
      </w: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</w:t>
      </w:r>
      <w:proofErr w:type="gramEnd"/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едениях о принятых и неисполненных обязательствах получателя                       бюджетных средств </w:t>
      </w:r>
      <w:hyperlink r:id="rId19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0503175)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59" w:rsidRPr="00346259" w:rsidRDefault="00346259" w:rsidP="0034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разделах 1 и 2 Сведений о принятых и неисполненных обязательствах получателя бюджетных средств (код формы по </w:t>
      </w:r>
      <w:hyperlink r:id="rId20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ОКУД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346259" w:rsidRPr="00346259" w:rsidRDefault="00346259" w:rsidP="003462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графах 7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Сведений ф. 0503175               отражаются соответственно код и наименование причины, повлиявшей на наличие указанных отклонений: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1660"/>
        <w:gridCol w:w="12794"/>
      </w:tblGrid>
      <w:tr w:rsidR="00346259" w:rsidRPr="00346259" w:rsidTr="002A46DD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46259" w:rsidRPr="00346259" w:rsidTr="002A46DD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346259" w:rsidRPr="00346259" w:rsidTr="002A46DD">
        <w:trPr>
          <w:trHeight w:val="659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лимитов бюджетных обязательств</w:t>
            </w:r>
          </w:p>
        </w:tc>
      </w:tr>
      <w:tr w:rsidR="00346259" w:rsidRPr="00346259" w:rsidTr="002A46DD">
        <w:trPr>
          <w:trHeight w:val="431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346259" w:rsidRPr="00346259" w:rsidTr="002A46D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невыполнение публично-правовым образованием обязательств по </w:t>
            </w:r>
            <w:proofErr w:type="gram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долевому</w:t>
            </w:r>
            <w:proofErr w:type="gramEnd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софинансированию</w:t>
            </w:r>
            <w:proofErr w:type="spellEnd"/>
          </w:p>
        </w:tc>
      </w:tr>
      <w:tr w:rsidR="00346259" w:rsidRPr="00346259" w:rsidTr="002A46DD">
        <w:trPr>
          <w:trHeight w:val="12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юридического лица (за исключением осуществляемой с применением казначейского обеспечения обязательств)</w:t>
            </w:r>
          </w:p>
        </w:tc>
      </w:tr>
      <w:tr w:rsidR="00346259" w:rsidRPr="00346259" w:rsidTr="002A46DD">
        <w:trPr>
          <w:trHeight w:val="6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сроков реализации международных проектов (программ)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реорганизационных мероприятий</w:t>
            </w:r>
          </w:p>
        </w:tc>
      </w:tr>
      <w:tr w:rsidR="00346259" w:rsidRPr="00346259" w:rsidTr="002A46DD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организациями – получателями субсидий некорректного (неполного) пакета документов для осуществления выплат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по заработной плате</w:t>
            </w:r>
          </w:p>
        </w:tc>
      </w:tr>
      <w:tr w:rsidR="00346259" w:rsidRPr="00346259" w:rsidTr="002A46DD">
        <w:trPr>
          <w:trHeight w:val="6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контрагентом обязательств по государственному контракту о поставке товаров, выполнении работ, оказанию услуг, оплачиваемых</w:t>
            </w:r>
          </w:p>
        </w:tc>
      </w:tr>
      <w:tr w:rsidR="00346259" w:rsidRPr="00346259" w:rsidTr="002A46DD">
        <w:trPr>
          <w:trHeight w:val="12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осуществляемой с применением казначейского обеспечения обязательств;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причины</w:t>
            </w:r>
          </w:p>
        </w:tc>
      </w:tr>
    </w:tbl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показателей </w:t>
      </w:r>
      <w:hyperlink r:id="rId23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3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ф. 0503175  осуществляется по всем фактам превышения принятых обязательств над суммой утвержденных бюджетных назначений.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4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графах 7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3462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34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Сведений  ф. 0503175  отражаются соответственно код и наименование причины, повлиявшей на наличие указанных отклонений:</w:t>
      </w:r>
    </w:p>
    <w:p w:rsidR="00346259" w:rsidRPr="00346259" w:rsidRDefault="00346259" w:rsidP="0034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1660"/>
        <w:gridCol w:w="12794"/>
      </w:tblGrid>
      <w:tr w:rsidR="00346259" w:rsidRPr="00346259" w:rsidTr="002A46DD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59" w:rsidRPr="00346259" w:rsidRDefault="00346259" w:rsidP="003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лимитов бюджетных обязательств</w:t>
            </w:r>
          </w:p>
        </w:tc>
      </w:tr>
      <w:tr w:rsidR="00346259" w:rsidRPr="00346259" w:rsidTr="002A46DD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контрагентом обязательств по государственному контракту о поставке товаров, выполнении работ, оказании услуг</w:t>
            </w:r>
          </w:p>
        </w:tc>
      </w:tr>
      <w:tr w:rsidR="00346259" w:rsidRPr="00346259" w:rsidTr="002A46DD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расчетам с депонентами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реквизитов контрагента</w:t>
            </w:r>
          </w:p>
        </w:tc>
      </w:tr>
      <w:tr w:rsidR="00346259" w:rsidRPr="00346259" w:rsidTr="002A46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259" w:rsidRPr="00346259" w:rsidRDefault="00346259" w:rsidP="0034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причины</w:t>
            </w:r>
          </w:p>
        </w:tc>
      </w:tr>
    </w:tbl>
    <w:p w:rsidR="00CF0A1F" w:rsidRPr="00A4499E" w:rsidRDefault="00CF0A1F" w:rsidP="00346259">
      <w:pPr>
        <w:ind w:right="1953"/>
      </w:pPr>
      <w:r w:rsidRPr="00CF0A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5B27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A4499E" w:rsidRDefault="00A4499E" w:rsidP="00A449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A4499E" w:rsidSect="00A4499E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ШУРЫГИНСКОГО СЕЛЬСОВЕТА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04.12.2023   № 99 </w:t>
      </w:r>
    </w:p>
    <w:p w:rsid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утверждении Порядка уведомления субъекта бюджетной отчетности о результатах проведенной камеральной проверки бюджетной отчетности об исполнении местного бюджета Шурыгинского сельсовета Черепановского района Новосибирской области</w:t>
      </w:r>
    </w:p>
    <w:p w:rsid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Бюджетным кодексом Российской Федерации,  администрация  Шурыгинского сельсовета Черепановского района Новосибирской области,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субъекта бюджетной отчетности о результатах проведенной камеральной проверки бюджетной отчетности об исполнении местного бюджета Шурыгинского  сельсовета Черепановского района Новосибирской области, 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газете «Сельские вести» и разместить на официальном сайте администрации Шурыгинского сельсовета Черепановского района Новосибирской области.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Шурыгинского сельсовета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Л.Н. Филиппи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7A" w:rsidRPr="0021797A" w:rsidRDefault="0021797A" w:rsidP="0021797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</w:p>
    <w:p w:rsidR="0021797A" w:rsidRPr="0021797A" w:rsidRDefault="0021797A" w:rsidP="002179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1797A" w:rsidRPr="0021797A" w:rsidRDefault="0021797A" w:rsidP="002179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Шурыгинского  сельсовета </w:t>
      </w:r>
    </w:p>
    <w:p w:rsidR="0021797A" w:rsidRPr="0021797A" w:rsidRDefault="0021797A" w:rsidP="002179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21797A" w:rsidRPr="0021797A" w:rsidRDefault="0021797A" w:rsidP="002179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797A" w:rsidRPr="0021797A" w:rsidRDefault="0021797A" w:rsidP="002179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№ 99</w:t>
      </w:r>
    </w:p>
    <w:p w:rsidR="0021797A" w:rsidRPr="0021797A" w:rsidRDefault="0021797A" w:rsidP="002179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уведомления субъекта бюджетной отчетности о результатах проведенной камеральной проверки бюджетной отчетности об исполнении местного бюджета Шурыгинского сельсовета Черепановского района Новосибирской области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Инструкцией о порядке составления, представления</w:t>
      </w:r>
      <w:proofErr w:type="gramEnd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и ввиду того, что администрация Шурыгинского  сельсовета Черепановского района Новосибирской области  (дале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 является субъектом отчетности, ответственным за формирование сводной и </w:t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консолидированной отчетности (далее – пользователь отчетности или администрация).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Уведомление о результатах проведенной камеральной проверки бюджетной отчетности об исполнении местного бюджета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в присутствии главного бухгалтера получателя бюджетных средств, муниципального бюджетного учреждения находящегося в ведении администрации,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администрация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предварительной проверки представленной отчетности администрация в течение двух </w:t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управления финансов и налоговой политики Черепановского района Новосибирской области (далее – Управление финансов), устанавливающими дополнительные формы отчетности или дополнительную информацию к отчетности (далее – требования</w:t>
      </w:r>
      <w:proofErr w:type="gramEnd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  <w:proofErr w:type="gramEnd"/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 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  <w:proofErr w:type="gramEnd"/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Получатели бюджетных средств, учреждения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Отчетность, содержащая исправления по результатам камеральной проверки отчетности, представляется получателями бюджетных средств, учреждениями с </w:t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сопроводительным письмом, содержащим указания о внесенных изменениях.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Отчетность считается принятой, если все формы прошли </w:t>
      </w:r>
      <w:proofErr w:type="spell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внутридокументальный</w:t>
      </w:r>
      <w:proofErr w:type="spellEnd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междокументальный</w:t>
      </w:r>
      <w:proofErr w:type="spellEnd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</w:t>
      </w:r>
    </w:p>
    <w:p w:rsidR="0021797A" w:rsidRP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  и представляет ее в управление финансов и налоговой политики Черепановского района Новосибирской области в установленные ими сроки, согласно утвержденного перечня форм.</w:t>
      </w:r>
      <w:proofErr w:type="gramEnd"/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Сводная бюджетная отчетность по исполнению местного бюджета предоставляется в виде электронного документа путем передачи по телекоммуникационным каналам связи в порядке, установленном министерством финансов и налоговой политики Новосибирской области.</w:t>
      </w:r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АДМИНИСТРАЦИЯ ШУРЫГИНСКОГО  СЕЛЬСОВЕТА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ЧЕРЕПАНОВСКОГО РАЙОНА 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1797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04.12.2023   № 100</w:t>
      </w: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составления, представления и принятия бюджетной отчетности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 </w:t>
      </w:r>
      <w:hyperlink r:id="rId26" w:tgtFrame="_blank" w:history="1">
        <w:r w:rsidRPr="002179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  администрация  Шурыгинского сельсовета Черепановского района Новосибирской области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составления, представления и принятия бюджетной отчетности.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газете  "Сельские вести" и разместить на официальном сайте Шурыгинского  сельсовета Черепановского района Новосибирской области в сети "Интернет".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Шурыгинского  сельсовета</w:t>
      </w: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Черепановского района </w:t>
      </w: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Новосибирской области 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Л.Н. Филиппи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1797A">
        <w:rPr>
          <w:rFonts w:ascii="Times New Roman" w:eastAsia="Calibri" w:hAnsi="Times New Roman" w:cs="Times New Roman"/>
          <w:sz w:val="20"/>
          <w:szCs w:val="20"/>
          <w:lang w:eastAsia="zh-CN"/>
        </w:rPr>
        <w:t>Роговцева О.А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1797A">
        <w:rPr>
          <w:rFonts w:ascii="Times New Roman" w:eastAsia="Calibri" w:hAnsi="Times New Roman" w:cs="Times New Roman"/>
          <w:sz w:val="20"/>
          <w:szCs w:val="20"/>
          <w:lang w:eastAsia="zh-CN"/>
        </w:rPr>
        <w:t>62-280</w:t>
      </w:r>
    </w:p>
    <w:p w:rsidR="0021797A" w:rsidRPr="0021797A" w:rsidRDefault="0021797A" w:rsidP="002179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1797A" w:rsidRPr="0021797A" w:rsidRDefault="0021797A" w:rsidP="002179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1797A" w:rsidRPr="0021797A" w:rsidRDefault="0021797A" w:rsidP="002179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 сельсовета</w:t>
      </w:r>
    </w:p>
    <w:p w:rsidR="0021797A" w:rsidRPr="0021797A" w:rsidRDefault="0021797A" w:rsidP="002179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Черепановского района</w:t>
      </w:r>
    </w:p>
    <w:p w:rsidR="0021797A" w:rsidRPr="0021797A" w:rsidRDefault="0021797A" w:rsidP="002179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21797A" w:rsidRPr="0021797A" w:rsidRDefault="0021797A" w:rsidP="002179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04.12.2023  № 100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СОСТАВЛЕНИЯ, ПРЕДСТАВЛЕНИЯ И ПРИНЯТИЯ БЮДЖЕТНОЙ ОТЧЕТНОСТИ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показатели камеральной проверки бюджетной отчетности представляемой получателями бюджетных средств бюджета, (далее - субъекты бюджетной отчетности), камеральной проверки и принятия бюджетной отчетности администрацией Шурыгинского сельсовета Черепановского района Новосибирской области (далее – администрация).</w:t>
      </w:r>
      <w:proofErr w:type="gramEnd"/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разработан в целях реализации статей 154 и 264.1  </w:t>
      </w:r>
      <w:hyperlink r:id="rId27" w:tgtFrame="_blank" w:history="1">
        <w:r w:rsidRPr="002179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пункта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 </w:t>
      </w:r>
      <w:hyperlink r:id="rId28" w:tgtFrame="_blank" w:history="1">
        <w:r w:rsidRPr="002179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28.12.2010 № 191н</w:t>
        </w:r>
      </w:hyperlink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Камеральная проверка - это счетная проверка показателей форм бюджетной отчетности, их </w:t>
      </w:r>
      <w:proofErr w:type="spell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взаимоувязки</w:t>
      </w:r>
      <w:proofErr w:type="spellEnd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соответствие требованиям законодательства, установление причин отклонений, выявленных при исполнении бюджета.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Порядок составления и представления бюджетной отчетности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Субъекты бюджетной отчетности составляют месячную, квартальную, годовую и иную бюджетную отчетность (далее - бюджетная отчетность) в соответствии 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требованиями, установленными Министерством финансов Российской Федерации (далее - Минфин России), Министерством финансов Новосибирской области (далее - Минфин НСО) и администрацией, и представляют ее администрации в установленные им сроки.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нарушении субъектами бюджетной отчетности сроков представления бюджетной отчетности возникают основания для применения ответственности, предусмотренной действующим законодательством.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Представленная бюджетная отчетность должна быть составлена нарастающим итогом с начала года в рублях с точностью до второго десятичного знака после запятой. В случае, когда данные по отдельным показателям не имеют числового значения, соответствующие графы заполняются прочерком.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Бюджетная отчетность представляется субъектами бюджетной отчетности в администрацию одновременно на бумажном носителе и в электронном виде, в соответствии с требованиями к форматам предъявляемыми Минфином НСО.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Бюджетная отчетность, предоставляемая на бумажном носителе, подписывается руководителем субъекта бюджетной отчетности и главным бухгалтером или лицом, ответственным за ведение бюджетного учета, формирование и составление бюджетной отчетности. Отчетность представляется в сброшюрованном и пронумерованном виде с оглавлением и с пояснительной запиской. Показатели бюджетной отчетности, 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представленной в электронном виде, должны быть идентичны показателям бюджетной отчетности, представленной на бумажном носителе.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Администрация проставляет отметку о дате представления бюджетной отчетности на копии бюджетной отчетности субъекта.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может вернуть субъекту предоставленную отчетность в случаях: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некомплектности представляемой бюджетной отчетности;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несоответствия содержания бюджетной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proofErr w:type="gramEnd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электронным форматам и формам;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подписей, предусмотренных в установленных формах документов.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Проведение камеральной проверки бюджетной отчетности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осуществляет проверку бюджетной отчетности, представленной субъектами бюджетной отчетности, на полноту представления форм отчетности, на соответствие требованиям ее составления и представления, а также на соответствие показателей представленной бюджетной отчетности контрольным соотношениям, установленным Минфином России, Минфином НСО и администрацией   (далее - камеральная проверка бюджетной отчетности), в следующем порядке:</w:t>
      </w:r>
      <w:proofErr w:type="gramEnd"/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Уполномоченный специалист, осуществляющий бухгалтерский учет и отчетность администрации: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обеспечивает бесперебойное функционирование соответствующего программного продукта </w:t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взаимодействие с Минфином НСО и организацией, оказывающей услуги по сопровождению программного продукта: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прием отчетности от субъектов бюджетной отчетности;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полноту представления форм бюджетной отчетности;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камеральную проверку форм бюджетной отчетности в части, предусмотренной актом;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проверку контрольных соотношений годовой бюджетной отчетности на электронном носителе в соответствующем программном продукте.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проставляет после проверки полноты представления форм бюджетной отчетности отметку о дате ее представления на копии бюджетной отчетности;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камеральную проверку форм бюджетной отчетности в части, предусмотренной актом, при приемке 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случае выявления администрацией камеральной проверки бюджетной отчетности несоответствия бюджетной отчетности требованиям к ее составлению и представлению структурные подразделения, указанные в пункте 3.1 настоящего Порядка, не позднее рабочего дня, следующего за днем выявления несоответствия, уведомляют об этом субъект бюджетной отчетности средствами телефонных, факсимильных и иных каналов связи.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бюджетной отчетности, предоставивший отчетность, не соответствующую установленным требованиям к ее составлению и представлению, обязан в течение одного рабочего дня принять необходимые меры для приведения ее в соответствие с установленными требованиями и последующего ее представления с учетом внесенных исправлений в администрацию для продолжения камеральной проверки.</w:t>
      </w:r>
      <w:proofErr w:type="gramEnd"/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Бюджетная отчетность, содержащая исправления по результатам камеральной проверки бюджетной 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отчетности, представляется субъектом бюджетной отчетности в соответствии с разделом 2 настоящего Порядка.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субъектом бюджетной отчетности направляется сопроводительное письмо, содержащее указания о внесенных изменениях.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Принятие бюджетной отчетности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Администрация уведомляет субъект бюджетной отчетности о дате принятия представленной им квартальной бюджетной отчетности.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 течение пяти рабочих дней после получения от Управления финансов и налоговой политики Черепановского района Новосибирской области уведомления о принятии годовой бюджетной отчетности об исполнении бюджета Шурыгинского сельсовета Черепановского района Новосибирской области уведомляет субъект бюджетной отчетности о дате принятия представленной им годовой бюджетной отчетности путем направления уведомления о принятии годовой бюджетной отчетности (далее - Уведомление) в письменной форме.</w:t>
      </w:r>
      <w:proofErr w:type="gramEnd"/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Администрация в случае положительного результата по факту проведения камеральной проверки бюджетной отчетности проставляет отметку о дате ее принятия на копии бюджетной отчетности.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Заключительные положения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Годовую бюджетную отчетность администрация   обязана направить для проведения внешней проверки в </w:t>
      </w:r>
      <w:r w:rsidRPr="002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Контрольно-ревизионную комиссию Черепановского района</w:t>
      </w: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Обеспечение сохранности бюджетной отчетности, представленной субъектами бюджетной отчетности в администрацию: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с использованием программного продукта    и на бумажном носителе осуществляет специалист </w:t>
      </w:r>
      <w:proofErr w:type="gramStart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2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бухгалтерский учет и отчетность администрации.</w:t>
      </w:r>
    </w:p>
    <w:p w:rsidR="0021797A" w:rsidRPr="0021797A" w:rsidRDefault="0021797A" w:rsidP="00217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97A" w:rsidRPr="009A0E67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A0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АДМИНИСТРАЦИЯ  ШУРЫГИНСКОГО  СЕЛЬСОВЕТА </w:t>
      </w:r>
    </w:p>
    <w:p w:rsidR="0021797A" w:rsidRPr="009A0E67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A0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ЧЕРЕПАНОВСКОГО РАЙОНА </w:t>
      </w:r>
    </w:p>
    <w:p w:rsidR="0021797A" w:rsidRPr="009A0E67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A0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НОВОСИБИРСКОЙ ОБЛАСТИ </w:t>
      </w:r>
    </w:p>
    <w:p w:rsidR="0021797A" w:rsidRPr="0021797A" w:rsidRDefault="0021797A" w:rsidP="009A0E6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1797A" w:rsidRPr="0021797A" w:rsidRDefault="009A0E67" w:rsidP="009A0E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  <w:t>ПОСТАНОВЛЕНИЕ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 04.12.2023  № 101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сведения ЕГРН об изменении  адреса</w:t>
      </w: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 с упорядочением  адресного хозяйства на территории Шурыгинского сельсовета Черепановского района Новосибирской области, руководствуясь Федеральным  законом  от 06.10.2003 г. № 131-ФЗ «Об общих принципах организации местного самоуправления в Российской Федерации», администрация  Шурыгинского сельсовета Черепановского района Новосибирской области</w:t>
      </w: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Изменить адрес местоположения </w:t>
      </w:r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жилому дому с </w:t>
      </w:r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lastRenderedPageBreak/>
        <w:t xml:space="preserve">кадастровым номером 54:28:040502:143, общей площадью </w:t>
      </w:r>
      <w:r w:rsidRPr="0021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73,3</w:t>
      </w:r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 кв. м. с:  Новосибирская область, Черепановский район, с. Шурыгино, ул. Советская, дом 19 на</w:t>
      </w:r>
      <w:proofErr w:type="gramStart"/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 :</w:t>
      </w:r>
      <w:proofErr w:type="gramEnd"/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 Российская Федерация, Новосибирская область, муниципальный район Черепановский, сельское поселение Шурыгинский сельсовет, с. Шурыгино, ул. Советская, дом 18б.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>Глава Шурыгинского сельсовета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Черепановского района 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</w:t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Л.Н. Филиппи 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79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АДМИНИСТРАЦИЯ  ШУРЫГИНСКОГО  СЕЛЬСОВЕТА 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79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ЧЕРЕПАНОВСКОГО РАЙОНА 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79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НОВОСИБИРСКОЙ ОБЛАСТИ </w:t>
      </w:r>
    </w:p>
    <w:p w:rsidR="0021797A" w:rsidRPr="0021797A" w:rsidRDefault="0021797A" w:rsidP="002179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  <w:r w:rsidRPr="0021797A"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  <w:t>ПОСТАНОВЛЕНИЕ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 04.12.2023  № 102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сведения ЕГРН об изменении  адреса</w:t>
      </w: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 с упорядочением  адресного хозяйства на территории Шурыгинского сельсовета Черепановского района Новосибирской области, руководствуясь Федеральным  законом  от 06.10.2003 г. № 131-ФЗ «Об общих принципах организации местного самоуправления в Российской Федерации», администрация  Шурыгинского сельсовета Черепановского района Новосибирской области</w:t>
      </w: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ПОСТАНОВЛЯЕТ:</w:t>
      </w:r>
    </w:p>
    <w:p w:rsidR="0021797A" w:rsidRPr="0021797A" w:rsidRDefault="0021797A" w:rsidP="002179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Изменить адрес местоположения </w:t>
      </w:r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квартире с кадастровым номером 54:28:040506:131, общей площадью </w:t>
      </w:r>
      <w:r w:rsidRPr="0021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120,8</w:t>
      </w:r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 кв. м. с:  Новосибирская область, Черепановский район, с. Шурыгино, ул. Пролетарская, дом 17а, квартира 1  на</w:t>
      </w:r>
      <w:proofErr w:type="gramStart"/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 :</w:t>
      </w:r>
      <w:proofErr w:type="gramEnd"/>
      <w:r w:rsidRPr="0021797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zh-CN"/>
        </w:rPr>
        <w:t xml:space="preserve"> Российская Федерация, Новосибирская область, муниципальный район Черепановский, сельское поселение Шурыгинский сельсовет, с. Шурыгино, ул. Пролетарская, дом 17а, квартира 2.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>Глава Шурыгинского сельсовета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Черепановского района </w:t>
      </w:r>
    </w:p>
    <w:p w:rsidR="0021797A" w:rsidRPr="0021797A" w:rsidRDefault="0021797A" w:rsidP="002179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</w:t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Л.Н. Филиппи </w:t>
      </w:r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97A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ШУРЫГИНСКОГО СЕЛЬСОВЕТА 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97A">
        <w:rPr>
          <w:rFonts w:ascii="Times New Roman" w:eastAsia="Calibri" w:hAnsi="Times New Roman" w:cs="Times New Roman"/>
          <w:b/>
          <w:sz w:val="24"/>
          <w:szCs w:val="24"/>
        </w:rPr>
        <w:t xml:space="preserve">ЧЕРЕПАНОВСКОГО  РАЙОНА 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97A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21797A" w:rsidRPr="0021797A" w:rsidRDefault="0021797A" w:rsidP="002179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1797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1797A" w:rsidRPr="0021797A" w:rsidRDefault="0021797A" w:rsidP="002179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>от 04.12.2023  № 103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 xml:space="preserve">Об актуализации адресных сведений </w:t>
      </w:r>
    </w:p>
    <w:p w:rsidR="0021797A" w:rsidRPr="0021797A" w:rsidRDefault="0021797A" w:rsidP="00217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>в  Государственном адресном реестре</w:t>
      </w:r>
    </w:p>
    <w:p w:rsidR="0021797A" w:rsidRPr="0021797A" w:rsidRDefault="0021797A" w:rsidP="002179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97A" w:rsidRPr="0021797A" w:rsidRDefault="0021797A" w:rsidP="00217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97A">
        <w:rPr>
          <w:rFonts w:ascii="Times New Roman" w:eastAsia="Calibri" w:hAnsi="Times New Roman" w:cs="Times New Roman"/>
          <w:sz w:val="28"/>
          <w:szCs w:val="28"/>
        </w:rPr>
        <w:t>В целях исполнения работ по актуализации  сведений в Государственном адресном реестре в части заполнения  сведений о кадастровых  номерах</w:t>
      </w:r>
      <w:proofErr w:type="gramEnd"/>
      <w:r w:rsidRPr="0021797A">
        <w:rPr>
          <w:rFonts w:ascii="Times New Roman" w:eastAsia="Calibri" w:hAnsi="Times New Roman" w:cs="Times New Roman"/>
          <w:sz w:val="28"/>
          <w:szCs w:val="28"/>
        </w:rPr>
        <w:t xml:space="preserve"> объектов недвижимого имущества,</w:t>
      </w:r>
      <w:r w:rsidRPr="0021797A">
        <w:rPr>
          <w:rFonts w:ascii="Calibri" w:eastAsia="Calibri" w:hAnsi="Calibri" w:cs="Times New Roman"/>
        </w:rPr>
        <w:t xml:space="preserve"> </w:t>
      </w:r>
    </w:p>
    <w:p w:rsidR="0021797A" w:rsidRPr="0021797A" w:rsidRDefault="0021797A" w:rsidP="00217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lastRenderedPageBreak/>
        <w:t>1.  внести в адрес: Российская Федерация, Новосибирская область, муниципальный  район Черепановский, сельское поселение Шурыгинский сельсовет, село Шурыгино, ул. Советская, дом 18б, кадастровый номер 54:28:040502:143;</w:t>
      </w:r>
    </w:p>
    <w:p w:rsidR="0021797A" w:rsidRPr="0021797A" w:rsidRDefault="0021797A" w:rsidP="00217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>2. внести в адрес: Российская Федерация, Новосибирская область, муниципальный  район Черепановский, сельское поселение Шурыгинский сельсовет, село Шурыгино, ул. Пролетарская, дом 17а, квартира 1,  кадастровый номер 54:28:040506:132;</w:t>
      </w:r>
    </w:p>
    <w:p w:rsidR="0021797A" w:rsidRPr="0021797A" w:rsidRDefault="0021797A" w:rsidP="00217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>3. внести в адрес: Российская Федерация, Новосибирская область, муниципальный  район Черепановский, сельское поселение Шурыгинский сельсовет, село Шурыгино, ул. Пролетарская, дом 17а, квартира 2, кадастровый номер 54:28:040506:131.</w:t>
      </w: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r w:rsidRPr="0021797A">
        <w:rPr>
          <w:rFonts w:ascii="Times New Roman" w:eastAsia="Calibri" w:hAnsi="Times New Roman" w:cs="Times New Roman"/>
          <w:sz w:val="28"/>
          <w:szCs w:val="28"/>
        </w:rPr>
        <w:t xml:space="preserve"> Шурыгинского  сельсовета </w:t>
      </w:r>
    </w:p>
    <w:p w:rsidR="0021797A" w:rsidRPr="0021797A" w:rsidRDefault="0021797A" w:rsidP="002179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 xml:space="preserve">Черепановского района </w:t>
      </w:r>
    </w:p>
    <w:p w:rsidR="0021797A" w:rsidRPr="0021797A" w:rsidRDefault="0021797A" w:rsidP="0021797A">
      <w:pPr>
        <w:tabs>
          <w:tab w:val="left" w:pos="76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Л.Н. Филиппи</w:t>
      </w:r>
    </w:p>
    <w:p w:rsidR="009A0E67" w:rsidRDefault="009A0E67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A" w:rsidRPr="009A0E67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A0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АДМИНИСТРАЦИЯ ШУРЫГИНСКОГО СЕЛЬСОВЕТА</w:t>
      </w:r>
    </w:p>
    <w:p w:rsidR="0021797A" w:rsidRPr="009A0E67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A0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ЧЕРЕПАНОВСКОГО РАЙОНА </w:t>
      </w:r>
    </w:p>
    <w:p w:rsidR="0021797A" w:rsidRPr="009A0E67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A0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НОВОСИБИРСКОЙ ОБЛАСТИ</w:t>
      </w:r>
    </w:p>
    <w:p w:rsidR="0021797A" w:rsidRPr="0021797A" w:rsidRDefault="0021797A" w:rsidP="002179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21797A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ПОСТАНОВЛЕНИЕ</w:t>
      </w: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1797A" w:rsidRPr="0021797A" w:rsidRDefault="0021797A" w:rsidP="002179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1797A">
        <w:rPr>
          <w:rFonts w:ascii="Times New Roman" w:eastAsia="Calibri" w:hAnsi="Times New Roman" w:cs="Times New Roman"/>
          <w:sz w:val="28"/>
          <w:szCs w:val="28"/>
          <w:lang w:eastAsia="zh-CN"/>
        </w:rPr>
        <w:t>от 04.12.2023 № 104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1797A" w:rsidRPr="0021797A" w:rsidRDefault="0021797A" w:rsidP="009A0E67">
      <w:pPr>
        <w:tabs>
          <w:tab w:val="left" w:pos="124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 утверждении муниципальной программы профилактики правонарушений и борьбы с преступностью на территории Шурыгинского сельсовета Черепановского района Но</w:t>
      </w:r>
      <w:r w:rsidR="009A0E67">
        <w:rPr>
          <w:rFonts w:ascii="Times New Roman" w:eastAsia="Calibri" w:hAnsi="Times New Roman" w:cs="Times New Roman"/>
          <w:color w:val="000000"/>
          <w:sz w:val="28"/>
          <w:szCs w:val="28"/>
        </w:rPr>
        <w:t>восибирской области на 2024 год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>1. Утвердить прилагаемую муниципальную программу профилактики правонарушений и борьбы с преступностью на территории Шурыгинского сельсовета Черепановского района Новосибирской области на 2024 год.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«Сельские вести» и разместить на официальном сайте администрации Шурыгинского сельсовета Черепановского района Новосибирской области в сети Интернет.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Шурыгинского сельсовета 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21797A" w:rsidRPr="0021797A" w:rsidRDefault="0021797A" w:rsidP="002179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Л.Н. Филиппи </w:t>
      </w:r>
    </w:p>
    <w:p w:rsidR="0021797A" w:rsidRDefault="0021797A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2179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сельсовета 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№ 104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БОРЬБЫ С ПРЕСТУПНОСТЬЮ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ШУРЫГИНСКОГО СЕЛЬСОВЕТА ЧЕРЕПАНОВСКОГО РАЙОНА 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положения Программы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Введение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Характеристика проблемы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Цель и задачи Программы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и этапы реализации Программы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Финансовое обеспечение Программы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Ожидаемый социально-экономический эффект от реализации Программы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</w:t>
      </w: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Мероприятия Программ</w:t>
      </w:r>
    </w:p>
    <w:p w:rsidR="009A0E67" w:rsidRP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I. ПАСПОРТ ПРОГРАММЫ 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441"/>
      </w:tblGrid>
      <w:tr w:rsidR="009A0E67" w:rsidRPr="009A0E67" w:rsidTr="009A0E67">
        <w:trPr>
          <w:cantSplit/>
          <w:trHeight w:val="6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Муниципальная программа профилактики  правонарушений и борьбы с преступностью на территории  Шурыгинского сельсовета Черепановского района Новосибирской области на 2024 год (далее - Программа)</w:t>
            </w:r>
          </w:p>
        </w:tc>
      </w:tr>
      <w:tr w:rsidR="009A0E67" w:rsidRPr="009A0E67" w:rsidTr="009A0E67">
        <w:trPr>
          <w:cantSplit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Основание  для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-Федеральный закон от 6 октября 2003  года  N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131-ФЗ;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-Федеральный закон от 23 июня 2016 г. N 182-ФЗ</w:t>
            </w: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9A0E67" w:rsidRPr="009A0E67" w:rsidTr="009A0E67">
        <w:trPr>
          <w:cantSplit/>
          <w:trHeight w:val="3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Администрация Шурыгинского сельсовета Черепановского района Новосибирской области (далее - администрация муниципального образования)</w:t>
            </w:r>
          </w:p>
        </w:tc>
      </w:tr>
      <w:tr w:rsidR="009A0E67" w:rsidRPr="009A0E67" w:rsidTr="009A0E67">
        <w:trPr>
          <w:cantSplit/>
          <w:trHeight w:val="1857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Основные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МВД РФ  (по согласованию) (далее-полиция); </w:t>
            </w:r>
          </w:p>
        </w:tc>
      </w:tr>
      <w:tr w:rsidR="009A0E67" w:rsidRPr="009A0E67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A0E67" w:rsidRPr="00CB54E8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Цели и  задачи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Цели:                                                     </w:t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 комплексное   обеспечение   безопасности   граждан   на территории  муниципального образования;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-организация правового просвещения и правового информирования  населения путем 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-организация социальной адаптации, </w:t>
            </w:r>
            <w:proofErr w:type="spell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ресоциализации</w:t>
            </w:r>
            <w:proofErr w:type="spell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социальной реабилитации, помощи лицам, пострадавших от правонарушений или подверженным риску стать таковыми;       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-профилактика коррупционных правонарушений, совершаемых от имени или в интересах юридических лиц;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-обеспечение безопасности, защиты жителей и их имущества от преступных посягательств;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-организация безопасности дорожного движения;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-повышение уровня доверия населения  к  органам  местного самоуправления в сфере обеспечения безопасности.          </w:t>
            </w:r>
          </w:p>
        </w:tc>
      </w:tr>
      <w:tr w:rsidR="009A0E67" w:rsidRPr="00CB54E8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создание     действенной     системы     профилактики правонарушений;                                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 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9A0E67" w:rsidRPr="00CB54E8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и  этапы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реализации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2024 год, без деления на этапы</w:t>
            </w:r>
          </w:p>
        </w:tc>
      </w:tr>
      <w:tr w:rsidR="009A0E67" w:rsidRPr="00CB54E8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Финансовое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обеспечение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Программа   предусматривает финансирование.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A0E67" w:rsidRPr="00CB54E8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Ожидаемый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социально-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экономический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эффект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реализации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-снижение темпов роста преступности в  целом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укрепление  безопасности  объектов  жизнеобеспечения  и особой важности;                                          </w:t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9A0E67" w:rsidRPr="00CB54E8" w:rsidTr="009A0E67">
        <w:trPr>
          <w:cantSplit/>
          <w:trHeight w:val="9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реализацией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9A0E67" w:rsidRPr="009A0E67" w:rsidRDefault="009A0E67" w:rsidP="000020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реализацией Программы осуществляет  администрация муниципального образования,     комиссия по профилактике правонарушений и борьбе с преступностью  при администрации муниципального образования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A0E67" w:rsidRPr="009A0E67" w:rsidRDefault="009A0E67" w:rsidP="0000200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 ПРОГРАММЫ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профилактика правонарушений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сферах</w:t>
      </w:r>
      <w:proofErr w:type="gramEnd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9A0E67" w:rsidRPr="009A0E67" w:rsidRDefault="009A0E67" w:rsidP="009A0E6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проблемы.  </w:t>
      </w:r>
    </w:p>
    <w:p w:rsidR="009A0E67" w:rsidRPr="009A0E67" w:rsidRDefault="009A0E67" w:rsidP="009A0E6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относятся: </w:t>
      </w:r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9A0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снижение </w:t>
      </w:r>
      <w:r w:rsidRPr="009A0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lastRenderedPageBreak/>
        <w:t>духовно-нравственного потенциала, правовой нигилизм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Pr="009A0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9A0E67" w:rsidRPr="009A0E67" w:rsidRDefault="009A0E67" w:rsidP="009A0E6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С учетом </w:t>
      </w:r>
      <w:proofErr w:type="gramStart"/>
      <w:r w:rsidRPr="009A0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изложенного</w:t>
      </w:r>
      <w:proofErr w:type="gramEnd"/>
      <w:r w:rsidRPr="009A0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9A0E67" w:rsidRPr="009A0E67" w:rsidRDefault="009A0E67" w:rsidP="009A0E6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вреда</w:t>
      </w:r>
      <w:proofErr w:type="gramEnd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Целями Программы являются следующие: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комплексное обеспечение безопасности граждан на территории  муниципального образования;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0E6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организация проведения правового просвещения и правового информирования  населения путем </w:t>
      </w:r>
      <w:r w:rsidRPr="009A0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организация социальной адаптации, </w:t>
      </w:r>
      <w:proofErr w:type="spellStart"/>
      <w:r w:rsidRPr="009A0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ресоциализации</w:t>
      </w:r>
      <w:proofErr w:type="spellEnd"/>
      <w:r w:rsidRPr="009A0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профилактика</w:t>
      </w:r>
      <w:r w:rsidRPr="009A0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организация безопасного дорожного движения;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9A0E67" w:rsidRPr="009A0E67" w:rsidRDefault="009A0E67" w:rsidP="009A0E6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9A0E6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задач: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создание действенной системы профилактики правонарушений;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E6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Целевыми индикаторами и показателями являются</w:t>
      </w:r>
      <w:r w:rsidRPr="009A0E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уровень преступности;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динамика корыстно-насильственных преступлений;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-динамика </w:t>
      </w:r>
      <w:r w:rsidRPr="009A0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9A0E67" w:rsidRPr="009A0E67" w:rsidRDefault="009A0E67" w:rsidP="009A0E67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E6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2.4.Сроки и этапы реализации программы  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9A0E67" w:rsidRPr="009A0E67" w:rsidRDefault="009A0E67" w:rsidP="009A0E67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– 2024 год,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9A0E67" w:rsidRPr="009A0E67" w:rsidRDefault="009A0E67" w:rsidP="009A0E6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</w:t>
      </w: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9A0E67" w:rsidRPr="009A0E67" w:rsidRDefault="009A0E67" w:rsidP="009A0E6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  <w:r w:rsidRPr="009A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A0E67" w:rsidRPr="009A0E67" w:rsidRDefault="009A0E67" w:rsidP="009A0E67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омиссия).  </w:t>
      </w: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0E67" w:rsidSect="007A0416">
          <w:type w:val="continuous"/>
          <w:pgSz w:w="16838" w:h="11906" w:orient="landscape"/>
          <w:pgMar w:top="1134" w:right="567" w:bottom="1134" w:left="1418" w:header="709" w:footer="709" w:gutter="0"/>
          <w:cols w:num="2" w:space="708"/>
          <w:docGrid w:linePitch="360"/>
        </w:sectPr>
      </w:pPr>
    </w:p>
    <w:p w:rsidR="009A0E67" w:rsidRPr="009A0E67" w:rsidRDefault="009A0E67" w:rsidP="009A0E6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III. МЕРОПРИЯТИЯ МУНИЦИПАЛЬНОЙ ПРОГРАММЫ ПРОФИЛАКТИКИ ПРАВОНАРУШЕНИЙ</w:t>
      </w:r>
    </w:p>
    <w:p w:rsidR="009A0E67" w:rsidRPr="009A0E67" w:rsidRDefault="009A0E67" w:rsidP="009A0E6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БОРЬБЫ С ПРЕСТУПНОСТЬЮ НА ТЕРРИТОРИИ ШУРЫГИНСКОГО СЕЛЬСОВЕТА ЧЕРЕПАНОВСКОГО РАЙОНА НОВОСИБИРСКОЙ ОБЛАСТИ НА 2024 ГОД</w:t>
      </w:r>
    </w:p>
    <w:p w:rsidR="009A0E67" w:rsidRPr="009A0E67" w:rsidRDefault="009A0E67" w:rsidP="009A0E67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762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"/>
        <w:gridCol w:w="7045"/>
        <w:gridCol w:w="2058"/>
        <w:gridCol w:w="210"/>
        <w:gridCol w:w="1207"/>
        <w:gridCol w:w="352"/>
        <w:gridCol w:w="1066"/>
        <w:gridCol w:w="635"/>
        <w:gridCol w:w="1295"/>
      </w:tblGrid>
      <w:tr w:rsidR="009A0E67" w:rsidRPr="009A0E67" w:rsidTr="00002005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Финансовые затраты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9A0E67" w:rsidRPr="009A0E67" w:rsidTr="00002005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A0E67" w:rsidRPr="009A0E67" w:rsidTr="00002005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2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E67" w:rsidRPr="009A0E67" w:rsidTr="00002005">
        <w:trPr>
          <w:cantSplit/>
          <w:trHeight w:val="240"/>
        </w:trPr>
        <w:tc>
          <w:tcPr>
            <w:tcW w:w="1476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9A0E67" w:rsidRPr="009A0E67" w:rsidTr="00002005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сниффинга</w:t>
            </w:r>
            <w:proofErr w:type="spellEnd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суицидального поведения, </w:t>
            </w:r>
            <w:proofErr w:type="gram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интернет-зависимости</w:t>
            </w:r>
            <w:proofErr w:type="gramEnd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иного агрессивного и опасного для жизни и здоровья поведения, в том числе среди детей и подростков;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Глава поселения,  государственное учреждение здравоохранения (по согласованию), образовательные учреждения муниципального образования (по согласованию), учреждения культуры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 2024г  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рублей</w:t>
            </w:r>
          </w:p>
        </w:tc>
      </w:tr>
      <w:tr w:rsidR="009A0E67" w:rsidRPr="009A0E67" w:rsidTr="00002005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1.2. 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Полиция   (по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 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0E67" w:rsidRPr="009A0E67" w:rsidRDefault="009A0E67" w:rsidP="009A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A0E67" w:rsidRPr="009A0E67" w:rsidTr="00002005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1.3. 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Глава поселения, ГКУ 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«ЦЗН» (по согласованию)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       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срока реализации  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9A0E67" w:rsidRPr="009A0E67" w:rsidTr="00002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9A0E67" w:rsidRPr="009A0E67" w:rsidRDefault="009A0E67" w:rsidP="009A0E67">
            <w:pPr>
              <w:spacing w:after="0" w:line="240" w:lineRule="auto"/>
              <w:ind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7371" w:type="dxa"/>
            <w:gridSpan w:val="2"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268" w:type="dxa"/>
            <w:gridSpan w:val="2"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559" w:type="dxa"/>
            <w:gridSpan w:val="2"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701" w:type="dxa"/>
            <w:gridSpan w:val="2"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295" w:type="dxa"/>
          </w:tcPr>
          <w:p w:rsidR="009A0E67" w:rsidRPr="009A0E67" w:rsidRDefault="009A0E67" w:rsidP="009A0E67">
            <w:pPr>
              <w:spacing w:after="0" w:line="240" w:lineRule="auto"/>
              <w:ind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A0E67" w:rsidRPr="009A0E67" w:rsidTr="00002005">
        <w:trPr>
          <w:cantSplit/>
          <w:trHeight w:val="240"/>
        </w:trPr>
        <w:tc>
          <w:tcPr>
            <w:tcW w:w="1476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Профилактика правонарушений</w:t>
            </w:r>
          </w:p>
          <w:p w:rsidR="00002005" w:rsidRPr="009A0E67" w:rsidRDefault="00002005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E67" w:rsidRPr="009A0E67" w:rsidTr="00002005">
        <w:trPr>
          <w:cantSplit/>
          <w:trHeight w:val="276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2.1. 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</w:t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я(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9A0E67" w:rsidRPr="009A0E67" w:rsidTr="00002005">
        <w:trPr>
          <w:cantSplit/>
          <w:trHeight w:val="108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табакокурения</w:t>
            </w:r>
            <w:proofErr w:type="spellEnd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сниффинга</w:t>
            </w:r>
            <w:proofErr w:type="spellEnd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т.ч</w:t>
            </w:r>
            <w:proofErr w:type="spellEnd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</w:t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я(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9A0E67" w:rsidRPr="009A0E67" w:rsidTr="00002005">
        <w:trPr>
          <w:cantSplit/>
          <w:trHeight w:val="111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2.3.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 (по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9A0E67" w:rsidRPr="009A0E67" w:rsidTr="00002005">
        <w:trPr>
          <w:cantSplit/>
          <w:trHeight w:val="1545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 (по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9A0E67" w:rsidRPr="009A0E67" w:rsidTr="00002005">
        <w:trPr>
          <w:cantSplit/>
          <w:trHeight w:val="1185"/>
        </w:trPr>
        <w:tc>
          <w:tcPr>
            <w:tcW w:w="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2.5.</w:t>
            </w:r>
          </w:p>
          <w:p w:rsidR="009A0E67" w:rsidRPr="009A0E67" w:rsidRDefault="009A0E67" w:rsidP="009A0E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 Глава поселения, </w:t>
            </w: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A0E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___</w:t>
            </w:r>
          </w:p>
        </w:tc>
      </w:tr>
      <w:tr w:rsidR="009A0E67" w:rsidRPr="009A0E67" w:rsidTr="00002005">
        <w:trPr>
          <w:cantSplit/>
          <w:trHeight w:val="990"/>
        </w:trPr>
        <w:tc>
          <w:tcPr>
            <w:tcW w:w="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2.6. 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организацию: социальной адаптации, </w:t>
            </w:r>
            <w:proofErr w:type="spellStart"/>
            <w:r w:rsidRPr="009A0E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ресоциализации</w:t>
            </w:r>
            <w:proofErr w:type="spellEnd"/>
            <w:r w:rsidRPr="009A0E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социальной реабилитации, помощи лицам, пострадавших от правонарушений или подверженным риску стать таковыми, 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социализации и </w:t>
            </w:r>
            <w:proofErr w:type="spellStart"/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ресоциализации</w:t>
            </w:r>
            <w:proofErr w:type="spellEnd"/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несовершеннолетних, находящихся в конфликте с законом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 Глава поселения, полиция (по согласованию)</w:t>
            </w:r>
            <w:proofErr w:type="gramStart"/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«КЦСОН» Черепановского района Новосибирской области 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0E67" w:rsidRPr="009A0E67" w:rsidTr="00002005">
        <w:trPr>
          <w:cantSplit/>
          <w:trHeight w:val="990"/>
        </w:trPr>
        <w:tc>
          <w:tcPr>
            <w:tcW w:w="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2.7.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Осуществить мероприятия, направленные </w:t>
            </w:r>
            <w:proofErr w:type="gramStart"/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 развитие межведомственного и внутриведомственного взаимодействия субъектов профилактики правонарушений и преступлений несовершеннолетних;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- ведение инновационных технологий и форм работы с несовершеннолетними; 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 информационное и методическое обеспечение деятельности по профилактике преступности и правонарушений несовершеннолетних;</w:t>
            </w:r>
          </w:p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  привлечение граждан к охране общественного порядка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Глава поселения, полиция (по согласованию)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образовательные учреждения муниципального образования (по согласованию), учреждения культуры  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0E67" w:rsidRPr="009A0E67" w:rsidTr="00002005">
        <w:trPr>
          <w:cantSplit/>
          <w:trHeight w:val="145"/>
        </w:trPr>
        <w:tc>
          <w:tcPr>
            <w:tcW w:w="8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2.8. 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Осуществить комплекс мероприятий, направленных на </w:t>
            </w: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безопасности дорожного движения в местах производства дорожных работ посредством жесткого </w:t>
            </w:r>
            <w:proofErr w:type="gramStart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Глава поселения, </w:t>
            </w:r>
            <w:r w:rsidRPr="009A0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0E67" w:rsidRPr="009A0E67" w:rsidTr="00002005">
        <w:trPr>
          <w:cantSplit/>
          <w:trHeight w:val="240"/>
        </w:trPr>
        <w:tc>
          <w:tcPr>
            <w:tcW w:w="1476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9A0E67" w:rsidRPr="009A0E67" w:rsidTr="00002005">
        <w:trPr>
          <w:cantSplit/>
          <w:trHeight w:val="1378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3.1.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9A0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 (по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9A0E67" w:rsidRPr="009A0E67" w:rsidTr="00002005">
        <w:trPr>
          <w:cantSplit/>
          <w:trHeight w:val="144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3.2. 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 (по</w:t>
            </w: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ежеквартально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9A0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E67" w:rsidRPr="009A0E67" w:rsidRDefault="009A0E67" w:rsidP="009A0E6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</w:tbl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0E67" w:rsidSect="009A0E67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Default="009A0E67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ШУРЫГИНСКОГО СЕЛЬСОВЕТА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 № 105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«Муниципальная поддержка инвестиционной деятельности на территории Шурыгинского сельсовета Черепановского района 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инвестиционной привлекательности Шурыгинского сельсовета Черепановского района Новосибирской области и создания условий для успешного привлечения инвестиций, формирования благоприятных условий для активизации инвестиционной и инновационной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а также повышения эффективности муниципального регулирования инвестиционных процессов на территории поселения, руководствуясь Уставом Шурыгинского сельсовета Черепановского района Новосибирской области, администрация Шурыгинского сельсовета Черепановского района Новосибирской области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«Муниципальная поддержка инвестиционной деятельности на территории Шурыгинского сельсовета Черепановского района 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«Сельские вести» и разместить на официальном сайте администрации Шурыгинского сельсовета Черепановского района Новосиб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в сети Интернет.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Шурыгинского сельсовета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Л.Н. Филиппи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Шурыгинского  сельсовета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04.12.2023  № 105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поддержка инвестиционной деятельности на территории Шурыгинского  сельсовета Черепановского района 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      Паспорт муниципальной программы «Муниципальная поддержка инвестиционной деятельности на территории Шурыгинского  сельсовета Черепановского района 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«Муниципальная поддержка инвестиционной деятельности на территории Шурыгинского  сельсовета Черепановского района Новосибирской области на 2024-2028 годы» (далее - Программа)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номер и наименование правового акта о разработке программы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Правительства Новосибирской области от 25.12.2014 №541-п   «Об утверждении Инвестиционной стратегии Новосибирской области до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2030 года», Постановление Правительства Новосибирской области от 01.04.2015 №126-п   «О государственной программе Новосибирской области «Стимулирование инвестиционной и инновационной активности в Новосибирской области на 2015-2023 годы»  (с изменениями на 7 ноября 2023 года)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программы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Шурыгинского  сельсовета Черепановского района Новосибирской области (далее – администрация муниципального образования)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программы. Целевые показатели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Программы: Формирование на территории поселения  инвестиционного климата, благоприятного для развития бизнеса и привлекательного для инвесторов.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организационно-правовых условий для улучшения инвестиционного климата поселения;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2.Привлечение инвестиций на территорию поселения, оказание мер муниципальной поддержки инвестиционной деятельности;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3.Информационная поддержка инвестиционной деятельности.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инвестиций в основной капитал по полному кругу предприятий;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инвестиционных проектов, получивших муниципальную поддержку;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-количество дополнительных рабочих мест, созданных в рамках инвестиционных проектов по приоритетным направлениям инвестиционной деятельности;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мероприятий, значимых для формирования инвестиционного имиджа (в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-ярмарочные мероприятия).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реализации программы.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будет реализована в течение 5 лет с 2024 по 2028годы (этапы не выделяются)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основных мероприятий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(с расшифровкой по годам и источникам)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– 5 тыс. рублей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год: местный бюджет – 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 местный бюджет – 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год: местный бюджет –1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год: местный бюджет –_1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год: местный бюджет –_1тыс.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реализации программы, выраженные в количественно измеримых показателях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Программы ожидается: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 инвестиций в основной капитал по полному кругу предприятий не менее 9 млн. руб. за 5 лет;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инвестиционных проектов, получивших муниципальную поддержку не менее 5  шт. за 5 лет;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-количество дополнительных рабочих мест, созданных в рамках инвестиционных проектов по приоритетным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инвестиционной деятельности за 5 лет не менее 20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-количество мероприятий, значимых для формирования инвестиционного имиджа (в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-ярмарочные мероприятия) не менее 5 за время действия программы.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ОБОСНОВАНИЕ НЕОБХОДИМОСТИ РАЗРАБОТКИ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Программы являются правоотношения, связанные с обеспечением муниципальной поддержки инвестиционной деятельности на территории Шурыгинского  сельсовета Черепановского района Новосибирской области.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повышение инвестиционной привлекательности поселения, развитие системы стимулирования и содействия инвестиционной деятельности в приоритетных направлениях, которые утверждаются постановлением администрации Шурыгинского сельсовета Черепановского района Новосибирской области.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инвестиционных проектов позволит создать новые рабочие места и обеспечить дополнительные налоговые поступления в местный бюджет, что позволит решить важнейшие социально-экономические задачи.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инвестиций не позволяет муниципальному образованию развивать сферы экономики, обеспечивающие динамичное развитие многопрофильной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экономики Шурыгинского  сельсовета Черепановского района Новосибирской области (далее – муниципальное образование) и достойный уровень жизни населения.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– недостаточная активность потенциальных инвесторов по освоению свободных земельных участков и инвестиционных площадок.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Сдерживающим фактором при реализации инвестиционных проектов являются недостаток собственных средств, высокие ставки кредитования и отсутствие у инвесторов необходимой залоговой базы для привлечения кредитных ресурсов. Решение данной проблемы возможно, в том числе через предоставление государственных гарантий субъекта РФ.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частного капитала в социальную сферу также является одним из важнейших факторов инвестиционного роста поселения. Низкий уровень практического использования механизмов государственно-частного партнерства не позволяет рассчитывать на долгосрочные частные инвестиции в сферу жилищно-коммунального хозяйства, транспорта и социальную сферу.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невозможно эффективно решить проблему привлечения долгосрочных инвестиций в экономику поселения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актуальных мер муниципальной поддержки инвестиционной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на что и направлена данная программа: внедрение требований муниципального инвестиционного стандарта, применение механизмов государственно-частного партнерства для содействия реализации инфраструктурных и социальных проектов.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в настоящее время сформирована необходимая организационная структура, осуществляющая регулирование инвестиционной деятельности, и нормативная правовая база по стимулированию инвестиционных процессов, в том числе: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реализуется комплекс мероприятий по развитию конкуренции на социально-значимых рынках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определены приоритетные направления инвестиционной деятельности на территории муниципального образования: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модернизация, расширение или создание высокотехнологичных производств, а также производств, обеспечивающих выпуск инновационной продукции и услуг;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модернизация, расширение или создание производств пищевой, легкой и деревообрабатывающей промышленности;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строительство и реконструкция объектов туристской инфраструктуры;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строительство и реконструкция объектов инженерной инфраструктуры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строительство и реконструкция общественно значимых объектов в сфере образования, культуры, физической культуры и спорта, здравоохранения.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Значительным потенциалом для развития новых производств является наличие свободных производственных площадей, которые в настоящее время не используются рядом предприятий поселения. Одной из важных задач является инвентаризация земельных участков и площадок, которые могут представлять интерес для промышленного освоения и их комплексного развития. Для решения социально-экономических задач муниципального образования в целях координации деятельности инвесторов будут использоваться такие методы, как партнерство бизнеса и власти, информационная поддержка,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конгрессные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сфере инвестиционной деятельности: конгрессы, форумы, конференции, круглые столы, выставки, ярмарки по инвестиционной тематике. Для нужд инвесторов будет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работа по выделению требуемых земельных участков, передача муниципального имущества в аренду.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ЗАДАЧИ, ВАЖНЕЙШИЕ ЦЕЛЕВЫЕ ИНДИКАТОРЫ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достижение стратегической цели инвестиционной политики администрации муниципального образования - формирование на территории муниципального образования инвестиционного климата, благоприятного для развития бизнеса и привлекательного для инвесторов.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цели и выполнения задач муниципальной программы будет осуществляться на основе системы целевых индикаторов: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Индикаторы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организационно-правовых условий для улучшения инвестиционного климата муниципального образования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 по полному кругу предприятий;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2.Привлечение инвестиций на территорию муниципального образования, оказание мер муниципальной поддержки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-количество инвестиционных проектов, получивших муниципальную поддержку в рамках реализации муниципальной программы;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-количество дополнительных рабочих мест, созданных в рамках инвестиционных проектов по приоритетным направлениям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Информационная поддержка инвестиционной деятельности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мероприятий, значимых для формирования инвестиционного имиджа (в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-ярмарочные мероприятия) не менее 5 шт. за время действия программы.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муниципальной программы с указанием планируемых значений целевых индикаторов по годам реализации муниципальной программы приведены в приложении 1 к муниципальной программе.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СРОКИ РЕАЛИЗАЦИИ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будет реализовываться в течение пяти лет с 2024 по 2028 годы.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ОСНОВНЫЕ МЕРОПРИЯТИЯ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систему программных мероприятий, направленных на создание условий для дальнейшего повышения экономического потенциала муниципального образования за счет реализации мер, осуществляемых администрацией   по формированию активной инвестиционной политики.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 (приложение 2 к муниципальной программе).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задачи 1 «Формирование организационно-правовых условий для улучшения инвестиционного климата муниципального образования» предполагается реализация следующих программных мероприятий:           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формирование, актуализация и повышение качества нормативного правового обеспечения в сфере инвестиционной деятельности;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внедрение стандарта развития конкуренции;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базы данных о свободных земельных участках и производственных объектах для использования их инвесторами;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и актуализация перечня муниципального имущества, в отношении которого планируется заключение концессионных соглашений на основе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астного партнерства.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задачи 2 «Привлечение инвестиций в экономику муниципального образования, оказание мер муниципальной поддержки инвестиционной деятельности».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поддержка предоставляется в организационных и финансовых формах, а также в форме прямого участия администрации муниципального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в инвестиционной деятельности, осуществляемой в форме капитальных вложений.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Организационные формы муниципальной поддержки (сопровождение инвестиционных проектов по принципу «одного окна») включают: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1.1 консультационное, методическое и информационное сопровождение инвестиционного проекта;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помощь в подборе производственных площадей и земельных участков в соответствии с параметрами инвестиционного проекта;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секрет эффективности нефинансовых мер поддержки - заинтересованность в решении проблем инвестора,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клиентоориентированность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формы муниципальной поддержки оказываются всем инвесторам, реализующим проекты на территории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Финансовые формы муниципальной поддержки: субсидирование части затрат собственных средств инвестора, направленных на приобретение оборудования, аренду земельного участка предоставленного для реализации инвестиционного проекта, на выполнение работ, связанных с подключением к сетям инженерно-технического обеспечения.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финансовая поддержка инвесторам в виде субсидий предоставляется при условии привлечения ими внебюджетных источников, к которым относятся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собственные средства предприятий, кредиты банков, средства инвесторов.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финансовая поддержка осуществляется на конкурсной основе для проектов, соответствующих приоритетным направлениям инвестиционной деятельности, утвержденным постановлением администрации муниципального образования, и предоставляется инвесторам на основании договора о предоставлении муниципальной поддержки инвестиционной деятельности, заключенного по итогам конкурса.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форме прямого участия администрации муниципального образования в инвестиционной деятельности: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разработка, утверждение и финансирование муниципальных инвестиционных проектов;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задачи 3 «Информационная поддержка инвестиционной деятельности» предполагается реализация следующих программных мероприятий: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Развитие, обеспечение продвижения, наполнение актуализация информации об инвестиционной деятельности  на официальном сайте администрации муниципального образования. Реализация данного мероприятия позволит облегчить поиск информации инвесторами.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2.Информирование инвесторов о свободных земельных участках и производственных объектах, находящихся в собственности организаций поселения.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участия субъектов инвестиционной деятельности в семинарах, конференциях, форумах по вопросам осуществления инвестиционной деятельности.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РЕСУРСНОЕ ОБЕСПЕЧЕНИЕ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за счет средств местного бюджета составит 5 тыс. рублей, в том числе: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- 1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- 1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–1 тыс. рублей;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–1 тыс. рублей.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Финансирование Программы предполагается осуществлять из бюджета муниципального образования в течение 5 лет с учетом складывающейся экономической ситуации по всем направлениям. Ресурсное обеспечение муниципальной программы носит прогнозный характер и подлежит ежегодному уточнению.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будет осуществляться с использованием официального сайта администрации муниципального образования,   средств массовой информации (газеты).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МЕХАНИЗМ РЕАЛИЗАЦИИ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Программы является администрация муниципального образования (далее - Заказчик). Функции рабочего органа по реализации Программы возлагаются на уполномоченного специалиста администрации муниципального образования (далее - уполномоченный специалист).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 финансирование Программы осуществляется в соответствии с перечнем программных мероприятий.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финансирования мероприятий программы из средств местного бюджета осуществляется путем выделения средств в установленном законом порядке с последующим перечислением их исполнителям конкретных мероприятий.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 пределах своих полномочий в соответствии с Федеральным законом от 15 июля 1998 года №39-ФЗ «Об инвестиционной деятельности в Российской Федерации, осуществляемой в форме капитальных вложений» гарантирует всем субъектам инвестиционной деятельности: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равных прав при осуществлении инвестиционной деятельности;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гласность в обсуждении инвестиционных проектов;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стабильность прав субъектов инвестиционной деятельности.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 РЕАЛИЗАЦИИ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будут достигнуты следующие результаты: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инвестиций в экономику муниципального образования по полному кругу предприятий не менее 9 млн. за 5 лет;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инвестиционных проектов, получивших муниципальную поддержку не менее 5 шт. за 5 лет;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дополнительных рабочих мест, созданных в рамках инвестиционных проектов по приоритетным направлениям инвестиционной деятельности за 5 лет не менее 20;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мероприятий, значимых для формирования инвестиционного имиджа (в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-ярмарочные мероприятия) не менее 5 за время действия программы.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по годам приведены в Приложении 1 к Программе.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СИСТЕМА КОНТРОЛЯ РЕАЛИЗАЦИИ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осуществляет текущий контроль над ходом реализации Программы, использованием бюджетных средств, выделяемых на ее реализацию.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специалист осуществляет: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общее руководство и контроль реализации муниципальной программы;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общую координацию деятельности участников муниципальной программы в пределах компетенции;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отдельным программным мероприятиям;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4)  мониторинг результатов и оценку эффективности реализации программных мероприятий;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выявляет отклонения от предусмотренных результатов реализации муниципальной программы, устанавливает причины и определяет меры по их устранению;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корректирует ход выполнения муниципальной программы и вносит предложения по совершенствованию ее реализации.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результатов реализации инвестиционных проектов, получивших муниципальную поддержку, уполномоченный специалист  осуществляет на основании представляемой инвесторами отчетности по фактическим показателям реализации инвестиционных проектов.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администрация муниципального образования осуществляет текущий контроль за использованием бюджетных средств, выделяемых на ее реализацию,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исполнением договорных обязательств, готовит отчетную информацию о ходе реализации Программы.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поддержка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Шурыгинского сельсовета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ИНДИКАТОРЫ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«Муниципальная поддержка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Шурыгинского сельсовета Черепановского района 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Цель/задачи, требующие решения для достижения цели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целевого индикатора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измерения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целевого индикатора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Примечание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2025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2026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2027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 территории муниципального образования инвестиционного климата, благоприятного для развития бизнеса и привлекательного для инвесторов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1. Формирование организационно-правовых условий для улучшения инвестиционного климата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инвестиций в экономику муниципального образования по полному кругу предприятий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млн. руб.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2.Привлечение инвестиций на территорию муниципального образования, оказание мер муниципальной поддержки инвестиционной деятельности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инвестиционных проектов, получивших муниципальную поддержку рамках реализации муниципальной программы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дополнительных рабочих мест, созданных в рамках инвестиционных проектов по приоритетным направлениям инвестиционной деятельности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мест.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            Информационная поддержка инвестиционной деятельности.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мероприятий, значимых для формирования инвестиционного имиджа (в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</w:t>
      </w:r>
      <w:proofErr w:type="spell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-ярморочных мероприятий)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«Муниципальная поддержка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 Шурыгинского  сельсовета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поддержка инвестиционной деятельности на территории Шурыгинского  сельсовета Черепановского района Новосибирской области на 2024-2028 годы»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основного мероприятия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Заказчик (заказчик-координатор), ответственный за привлечение средств, исполнители программных мероприятий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Ожидаемый результат (краткое описание)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Формирование на территории муниципального образования инвестиционного климата, благоприятного для развития бизнеса и привлекательного для инвесторов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Формирование организационно-правовых условий для улучшения инвестиционного климата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актуализация и повышение качества нормативного правового обеспечения в сфере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инвестиционной деятельности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Упрощение процедур и сокращение административных барьеров.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стандарта развития конкуренции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Положительная оценка по мониторингу результатов исполнение плана развития конкуренции на территории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Формирование базы данных о свободных земельных участках и производственных объектах для использования их инвесторами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функционирования субъектов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1.5.Формирование и актуализация перечня муниципального имущества, в отношении которого планируется заключение концессионных соглашений на основе муниципального частного партнерства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муниципального образования, Глава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функционирования субъектов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Привлечение инвестиций на территорию муниципального образования, оказание мер муниципальной поддержки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2.1Организационные формы муниципальной поддержки (Сопровождение инвестиционных проектов по принципу "одного окна"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Консультационное, методическое и информационное сопровождение инвестиционного проекта;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2024-2028гг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функционирования субъектов инвестиционной деятельности. Содействие развитию приоритетных направлений инвестиционной деятельности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конкуренции на социально-значимых рынках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Помощь в подборе производственных площадей и земельных участков в соответствии с параметрами инвестиционного проекта;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образования, Глава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2024-2028гг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образования,  Глава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2024-2028гг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Финансовые формы муниципальной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Субсидирование части затрат собственных средств инвестора, направленных на приобретение оборудования, аренду земельного участка предоставленного для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инвестиционного проекта, на выполнение работ, связанных с подключением к сетям инженерно-технического обеспечения.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муниципального образования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функционирования субъектов инвестиционной деятельности. Содействие развитию приоритетных направлений инвестиционной деятельности муниципального образования. Содействие развитию конкуренции на социально-значимых рынках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форме прямого участия администрации муниципального образования в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Разработка, утверждение и финансирование муниципальных инвестиционных проектов;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развитию приоритетных направлений инвестиционной деятельности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Вовлечение в инвестиционный процесс временно приостановленных и законсервированных строек и объектов, находящихся в муниципальной собственности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развитию приоритетных направлений инвестиционной деятельности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конкуренции на социально-значимых рынках 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3. Информационная поддержка инвестиционной деятельности.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3.1Развитие, обеспечение продвижения, наполнение, актуализация информации об инвестиционной деятельности   на официальном сайте администрации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инвесторов актуальной информацией по вопросам осуществления и поддержки инвестиционной деятельности. Комплексное продвижение информации в интернет пространстве.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Информирование инвесторов о свободных земельных участках и производственных объектах, находящихся в собственности организаций  муниципального образования;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инвесторов актуальной информацией по вопросам осуществления и поддержки инвестиционной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3.3.Организация участия субъектов инвестиционной деятельности в семинарах, конференциях, форумах по вопросам осуществления инвестиционной деятельности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образования, Глава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2024-2028 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инвесторов актуальной информацией по вопросам осуществления и поддержки инвестиционной деятельности,</w:t>
      </w:r>
    </w:p>
    <w:p w:rsid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 ШУРЫГИНСКОГО СЕЛЬСОВЕТА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04.12.2023 № 106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«Военно-патриотическое воспитание несовершеннолетних и молодежи на 2024-2027 годы на территории Шурыгинского сельсовета»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 Федеральными законами «О воинской обязанности и военной службе»,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муниципальную  программу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«Военно-патриотическое воспитание несовершеннолетних и молодежи на 2024-2027 годы на территории Шурыгинского сельсовета» (прилагается).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Администрации Шурыгинского сельсовета Черепановского района Новосибирской области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разработать план мероприятий в целях реализации пунктов муниципальной программы.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 Опубликовать настоящее постановление в периодическом печатном издании «Сельские вести» и разместить на официальном сайте администрации Шурыгинского сельсовета Черепановского района Новосибирской области в сети интернет.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Шурыгинского сельсовета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Л.Н. Филиппи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Приложение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Шурыгинского сельсовета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002005" w:rsidRPr="00002005" w:rsidRDefault="00002005" w:rsidP="000020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04.12.2023 г. №106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Муниципальная программа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002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Военно-патриотическое воспитание несовершеннолетних и  молодежи на 2024-2027 годы на территории Шурыгинского сельсовета»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1.Паспорт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программы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Муниципальная программа </w:t>
      </w:r>
      <w:r w:rsidRPr="00002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Военно-патриотическое воспитание несовершеннолетних и  молодежи на 2024-2027 годы на территории Шурыгинского сельсовета»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разработки Программы: Постановление правительства Российской Федерации  «О государственной программе «Патриотическое воспитание граждан РФ на 2010-2015 гг.», Федеральный закон «О воинской обязанности и военной службе», «Об общих принципах организации местного самоуправления в Российской Федерации»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Патриотическое воспитание - это систематическая и 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направлено на формирование и развитие  личности, обладающей качествами гражданина-патриота Родины.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  частью патриотического воспитания  является военно-патриотическое воспитание граждан в соответствии с Федеральным законом « О воинской обязанности и военной службе»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военно-патриотического воспитания молодёжи;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 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подростков моральных и психологических качеств патриота и защитника Родины;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Важнейшие целевые показатели: 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программы: 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в периоде 2024-2027 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реализации программы: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  осуществления   программы  ожидается: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социально идеологическом плане 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духовно  нравственного  единства граждан, снижение степени идеологического  противостояния, возрождение  истинных духовных  ценностей Российского народа, упрочнение единства и дружбы этнических общностей и народов Российской Федерации.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социально-экономическом плане обеспечение заинтересованности граждан  сельского поселения в развитии национальной экономики и на этой основе снижение социальной напряженности, поддержание общественной  и экономической стабильности.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области обороноспособности страны - осознание молодежи важности службы в Вооруженных силах,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граждан к защите Отечества, сохранение и развитие его славных боевых и трудовых традиций.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реализации программы - сохранение традиций военно-патриотического воспитания на территории Шурыгинского сельсовета. Высокая духовность, гражданская позиция, патриотическое сознание молодежи.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  является развитие системы патриотического воспитания молодежи, способной  на основе формирования патриотических чувств и сознания обеспечить решение задач по консолидации общества, поддержанию  общественной и экономической  стабильности  в обществе.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Достижение целей и задач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создание механизма, обеспечивающего  становление  и эффективное  функционирование  системы  патриотического воспитания;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формирование патриотических чувств и сознания  молодежи  на основе бережного отношения к </w:t>
      </w: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Родине и патриотическим ценностям России, сохранению и развитию  чувства гордости за свою страну;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воспитание личности гражданина-патриота Родины, способного  встать на защиту государственных интересов страны;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комплекса  нормативного - правового  и организационно методического обеспечения функционирования системы патриотического воспитания.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  Реализация программы будет осуществляться в течени</w:t>
      </w:r>
      <w:proofErr w:type="gramStart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2024-2027 гг.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 программе предполагается реализация мероприятий </w:t>
      </w:r>
      <w:r w:rsidRPr="00002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1)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                                                                                     Приложение № 1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МЕРОПРИЯТИЯ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548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2551"/>
        <w:gridCol w:w="1800"/>
        <w:gridCol w:w="720"/>
        <w:gridCol w:w="900"/>
        <w:gridCol w:w="900"/>
        <w:gridCol w:w="900"/>
        <w:gridCol w:w="2160"/>
      </w:tblGrid>
      <w:tr w:rsidR="00002005" w:rsidRPr="00002005" w:rsidTr="00002005">
        <w:trPr>
          <w:trHeight w:val="24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02005" w:rsidRPr="00002005" w:rsidTr="00002005">
        <w:trPr>
          <w:trHeight w:val="400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160" w:type="dxa"/>
            <w:vMerge/>
            <w:tcBorders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торжественных церемониях, посвященных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 дням Отечественной истории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ветеранам труда, вдовам, труженикам тыла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школа, Молодежный совет.</w:t>
            </w: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ветеранов с молодежью, цикл бесед по истории ВОВ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памятным датам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(библиотека)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конкурса  армейской песни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ежегодно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стендов и выпуск стенгазет, способствующих формированию гражданского патриотического сознания </w:t>
            </w: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Молодежный совет.</w:t>
            </w: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оформление фотовыставки  «Они служили и служат в Российской армии», посвященной ребятам односельчанам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Апрель-октябрь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Молодежный совет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памятников Великой Отечественной войны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Молодежный совет, школа.</w:t>
            </w: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конкурс детских </w:t>
            </w: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рисунков, посвященных Российской Армии и на военную тематику.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«СДК»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Шурыгинского сельсовета,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(библиотека),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6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ШУРЫГИНСКОГО СЕЛЬСОВЕТА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04.12.2023 № 107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субъектов малого и среднего 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Шурыгинского сельсовета 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на 2024-2026 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содействия развитию малого и среднего предпринимательства на территории Шурыгинского сельсовета Черепановского района Новосибирской области, в соответствии с Федеральными законами от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Шурыгинского сельсовета Черепановского района Новосибирской области, администрация Шурыгинского сельсовета Черепановского района Новосибирской области 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1.Утвердить муниципальную  программу развития субъектов малого и среднего предпринимательства на территории Шурыгинского сельсовета Черепановского района Новосибирской области на 2024-2026 годы согласно приложению.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2.Финансирование муниципальной  программы развития субъектов малого и среднего предпринимательства на территории Шурыгинского сельсовета Черепановского района Новосибирской области на 2024-2026 годы осуществлять в пределах средств, утвержденных в бюджете Шурыгинского сельсовета Черепановского района Новосибирской области.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постановление в периодическом печатном издании «Сельские вести» и разместить на официальном сайте администрации Шурыгинского сельсовета Черепановского района Новосибирской области в сети Интернет.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Глава Шурыгинского сельсовета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Л.Н. Филиппи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Исп.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Мумбер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62-280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Шурыгинского сельсовета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 района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от 04.12.2023 г. №107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 программы развития субъектов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Шурыгинского сельсовета 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на 2024-2026</w:t>
      </w: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002005" w:rsidRPr="00002005" w:rsidTr="00002005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 программа развития субъектов  малого и среднего предпринимательства на территории Шурыгинского сельсовета Черепановского района Новосибирской области на  2024-2026</w:t>
            </w:r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 (далее - Программа)</w:t>
            </w:r>
          </w:p>
        </w:tc>
      </w:tr>
      <w:tr w:rsidR="00002005" w:rsidRPr="00002005" w:rsidTr="00002005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цели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-содействие развитию малого и среднего предпринимательства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 территории Шурыгинского сельсовета Черепановского района Новосибирской области (далее - муниципальное образование);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-обеспечение занятости и развитие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населения муниципального образования.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002005" w:rsidRPr="00002005" w:rsidTr="00002005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Шурыгинского сельсовета Черепановского района Новосибирской области (далее – администрация)</w:t>
            </w:r>
          </w:p>
        </w:tc>
      </w:tr>
      <w:tr w:rsidR="00002005" w:rsidRPr="00002005" w:rsidTr="00002005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Разработчики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 Шурыгинского сельсовета Черепановского района Новосибирской области (далее – администрация)</w:t>
            </w:r>
          </w:p>
        </w:tc>
      </w:tr>
      <w:tr w:rsidR="00002005" w:rsidRPr="00002005" w:rsidTr="00002005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мероприятий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002005" w:rsidRPr="00002005" w:rsidTr="00002005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-информационная поддержка субъектов малого и среднего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предпринимательства  муниципального образования;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-консультационная и организационная поддержка субъектов малого и среднего предпринимательства.</w:t>
            </w:r>
          </w:p>
        </w:tc>
      </w:tr>
      <w:tr w:rsidR="00002005" w:rsidRPr="00002005" w:rsidTr="00002005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2024-2026 годы</w:t>
            </w:r>
          </w:p>
        </w:tc>
      </w:tr>
      <w:tr w:rsidR="00002005" w:rsidRPr="00002005" w:rsidTr="00002005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реализации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обеспечение стабильной занятости в секторе малого и среднего бизнеса;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муниципального образования.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на территории муниципального образования, объемы и источники их финансирования, ответственных за реализацию мероприятий.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разработана с учетом основных приоритетов социально-экономического развития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Содержание проблемы и обоснование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ее решения программными методами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муниципального образования, стабильность налоговых поступлений. Развитие предпринимательства является одной из приоритетных задач социально-экономического развития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мер по содействию развитию малого и среднего предпринимательства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 по срокам, ресурсам, исполнителям, а также организацию процесса контроля.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3. Основные цели и задачи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Основными целями Программы являются: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содействие развитию малого и среднего предпринимательства на территории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содействия субъектам малого и среднего предпринимательства муниципального образования в продвижении производимых ими товаров (работ, услуг);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обеспечение занятости и развитие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самозанятости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достижение баланса интересов бизнеса и уровня налогообложения для субъектов малого и среднего предпринимательства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которые необходимо решить для достижения поставленных целей: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благоприятных условий для развития малого и среднего предпринимательства на территории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развитие инфраструктуры поддержки субъектов малого и среднего предпринимательства на территории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информационная поддержка субъектов малого и среднего предпринимательства муниципального образования и организаций, образующих инфраструктуру поддержки субъектов малого и среднего предпринимательства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пропаганда (популяризация) предпринимательской деятельности.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4.. Срок реализации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Срок реализации Программы – 2024-2026</w:t>
      </w: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Система программных мероприятий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программных мероприятий представлена следующими направлениями: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 квалификационных кадров;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создание условий для привлечения в экономику инвесторов с целью создания конкурентоспособных структур;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производственных мощностей на базе функционирующих предприятий;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налогооблагаемой базы, с целью увеличения поступлений в бюджет  муниципального образования;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снижение уровня безработицы;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производство новых видов конкурентоспособной продукции, услуг с целью выхода на новые рынки сбыта;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трудоустройство населения сельсовета;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увеличение среднемесячной заработной платы;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совершенствование внешней среды развития малого предпринимательства;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субъектов малого и среднего предпринимательства.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муниципальной  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субъектов малого и среднего 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на 2024-2026</w:t>
      </w: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86" w:type="dxa"/>
        <w:tblLayout w:type="fixed"/>
        <w:tblLook w:val="04A0" w:firstRow="1" w:lastRow="0" w:firstColumn="1" w:lastColumn="0" w:noHBand="0" w:noVBand="1"/>
      </w:tblPr>
      <w:tblGrid>
        <w:gridCol w:w="817"/>
        <w:gridCol w:w="2813"/>
        <w:gridCol w:w="2432"/>
        <w:gridCol w:w="1080"/>
        <w:gridCol w:w="1799"/>
        <w:gridCol w:w="1245"/>
      </w:tblGrid>
      <w:tr w:rsidR="00002005" w:rsidRPr="00002005" w:rsidTr="00002005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финансирования,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тыс. рублей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02005" w:rsidRPr="00002005" w:rsidTr="00002005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02005" w:rsidRPr="00002005" w:rsidTr="00002005">
        <w:tc>
          <w:tcPr>
            <w:tcW w:w="10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1.Совершенствование условий для развития малого и среднего предпринимательства </w:t>
            </w: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срока реализации </w:t>
            </w: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2024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2025</w:t>
            </w: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срока реализации</w:t>
            </w: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2024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2025</w:t>
            </w: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перечня муниципального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Ежегодно октябрь </w:t>
            </w:r>
          </w:p>
        </w:tc>
      </w:tr>
      <w:tr w:rsidR="00002005" w:rsidRPr="00002005" w:rsidTr="00002005">
        <w:trPr>
          <w:trHeight w:val="1445"/>
        </w:trPr>
        <w:tc>
          <w:tcPr>
            <w:tcW w:w="101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 Обеспечение деятельности инфраструктуры поддержки субъектов малого и среднего предпринимательства на территории муниципального образования.  Информационная поддержка субъектов малого и среднего предпринимательства</w:t>
            </w:r>
          </w:p>
        </w:tc>
      </w:tr>
      <w:tr w:rsidR="00002005" w:rsidRPr="00002005" w:rsidTr="00002005">
        <w:trPr>
          <w:trHeight w:val="82"/>
        </w:trPr>
        <w:tc>
          <w:tcPr>
            <w:tcW w:w="1018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Ведение соответствующего раздела на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официальном сайте администрации 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Информационное обеспечение субъектов малого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 течение срока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</w:tr>
      <w:tr w:rsidR="00002005" w:rsidRPr="00002005" w:rsidTr="000020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срока реализации</w:t>
            </w:r>
          </w:p>
        </w:tc>
      </w:tr>
      <w:tr w:rsidR="00002005" w:rsidRPr="00002005" w:rsidTr="0000200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срока реализации</w:t>
            </w:r>
          </w:p>
        </w:tc>
      </w:tr>
      <w:tr w:rsidR="00002005" w:rsidRPr="00002005" w:rsidTr="0000200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Осуществление и развитие консультационной, информационной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Поддержка физических лиц, не являющихся индивидуальными 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срока реализа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ции</w:t>
            </w:r>
          </w:p>
        </w:tc>
      </w:tr>
    </w:tbl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Ресурсное обеспечение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мероприятий Программы осуществляется согласно выделенным средствам из бюджета муниципального образования и составляет всего 11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- 5 тыс. рублей.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 - 3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2026 год  – 3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 Организация управления (механизм реализации) Программой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Заказчиком Программы является администрация муниципального образования, в задачи которой входит организация выполнения мероприятий Программы и координация взаимодействия исполнителей.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муниципального образования, утверждаемым муниципальным правовым актом администрации.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реализации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реализации Программы в установленном порядке осуществляется администрацией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Оценка эффективности результатов реализации Программы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муниципального образования.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 программе развития субъектов малого и среднего предпринимательства на территории Шурыгинского сельсовета Черепановского района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Новосибирской области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2024-2026</w:t>
      </w: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оказания финансовой поддержки субъектам малого и среднего предпринимательства на территории Шурыгинского сельсовета Черепановского района Новосибирской области</w:t>
      </w: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29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30" w:tgtFrame="Logical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24.07.2007 № 209-ФЗ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«О развитии малого и среднего предпринимательства в Российской Федерации» (далее - ФЗ № 209), </w:t>
      </w:r>
      <w:hyperlink r:id="rId31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Новосибирской области </w:t>
      </w:r>
      <w:hyperlink r:id="rId32" w:tgtFrame="Logical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02.07.2008 № 245-ОЗ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территории Шурыгинского сельсовета Черепановского района Новосибирской области (далее – муниципальное образование).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Оказание финансовой поддержки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пределах объемов финансирования, предусмотренных  бюджетом муниципального образования на соответствующий год на реализацию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мероприятий Программы по финансовой поддержке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33" w:anchor="Par37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34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ФЗ № 209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Par3323"/>
      <w:bookmarkEnd w:id="0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Финансовая поддержка не оказывается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являющимся участниками соглашений о разделе продукции;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осуществляющим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5) осуществляющим производство и реализацию подакцизных товаров, а также добычу и реализацию полезных ископаемых, если иное не предусмотрено Правительством Российской Федерации.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находящимся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стадии реорганизации/ликвидации.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 оказании финансовой поддержки должно быть отказано в случае, если: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не представлены документы, определенные Порядком, или представлены недостоверные сведения и документы;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 выполнены условия оказания финансовой поддержки, установленные Порядком;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3) ранее в отношении заявителя –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принято решение об оказании аналогичной поддержки (поддержки,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с даты признания субъекта малого и среднего предпринимательства, совершившим нарушение порядка и условий оказания  поддержки прошло менее одного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средств поддержки или представлением недостоверных сведений и документов,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признания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оказавшими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поддержку, выявлены нарушения субъектом малого или среднего предпринимательства порядка и условий оказания поддержки;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5)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осушествляющим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6.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Сообщение о приеме заявок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 администрацией  Шурыгинского сельсовета Черепановского района Новосибирской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 заявок.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Претенденты на получение финансовой поддержки за счет средств  бюджета муниципального образования (далее - заявители) представляют в администрацию </w:t>
      </w:r>
      <w:hyperlink r:id="rId35" w:anchor="Par3741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заявку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форме согласно приложению № 1 к настоящему Порядку с приложением документов, предусмотренных для каждой формы финансовой поддержки в соответствии с </w:t>
      </w:r>
      <w:hyperlink r:id="rId36" w:anchor="Par3830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приложением № 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представляется заявителями в администрацию.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Заявка регистрируется в день подачи с указанием номера и даты регистрации.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 Зарегистрированные заявки не возвращаются.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Ответственность за сохранность заявки несет лицо, принявшее заявку.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указанными в </w:t>
      </w:r>
      <w:hyperlink r:id="rId37" w:anchor="Par3323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(далее - Комиссия), созданную постановлением администрации.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указанным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 </w:t>
      </w:r>
      <w:hyperlink r:id="rId38" w:anchor="Par3323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Заявители вправе: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поддержка предоставляется заявителям, отвечающим требованиям </w:t>
      </w:r>
      <w:hyperlink r:id="rId39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ФЗ № 209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hyperlink r:id="rId40" w:anchor="Par3409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условиям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оказания поддержки, установленным в приложении № 3 к настоящему Порядку.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заявки поданы на сумму, превышающую объем финансирования, предусмотренный бюджетом муниципального образования на соответствующий год на реализацию мероприятий Программы по финансовой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поддержке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чьи заявки были поданы ранее.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  – администрацией   -  проводится обязательная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проверка соблюдения условий, целей и порядка предоставления субсидий их получателям.  Для проведения обязательной проверки получателями субсидий предоставляются в  администрацию  необходимые документы в объеме и в сроки в соответствии с договором о предоставлении субсидии.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19.В случае невыполнения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 администрация  обязана принять меры для возврата субсидий в судебном порядке.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  оказания финансовой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администрацию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3741"/>
      <w:bookmarkEnd w:id="1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оказание финансовой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наименование организации (индивидуального предпринимателя)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(телефон, факс, адрес электронной почты)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 предоставить в 20___ году финансовую поддержку в форме  __________________________________________________________________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Общие сведения об организации (индивидуальном предпринимателе):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1. Регистрационный номер 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2. Дата регистрации _______________________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3. Место регистрации 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4. Юридический адрес 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5. Почтовый адрес _________________________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6. ИНН __________________________________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7. КПП __________________________________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8.   Регистрационный   номер   страхователя  в  территориальном  органе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Пенсионного фонда Российской Федерации (для индивидуального предпринимателя - СНИЛС)  ________________________________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9. Коды </w:t>
      </w:r>
      <w:hyperlink r:id="rId41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ОКВЭД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10. Наименование основного вида деятельности 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11. Код </w:t>
      </w:r>
      <w:hyperlink r:id="rId42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ОКАТО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12. Код ОКПО _____________________________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13. Система налогообложения 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14.   Осуществляет   ли  организация  (индивидуальный  предприниматель)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   виды  деятельности:  деятельность  в  сфере  игорного  бизнеса;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   по   производству   подакцизных   товаров;  деятельность  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   подакцизных  товаров;  деятельность  по  добыче  и  реализации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полезных ископаемых (если "да" - указать какие): 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15.    Получала   ли   организация   (индивидуальный   предприниматель)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финансовую  поддержку  по  государственным  или  муниципальным программам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течение трех лет, предшествующих году подачи заявки 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15.1. Название программы и формы поддержки _________________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15.2.  Дата  заключения  договора о предоставлении финансовой поддержки 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    15.3. Сумма поддержки ________________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16.  Находится ли организация (индивидуальный предприниматель) в стадии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реорганизации/ликвидации (указать "да" или "нет") _________________________________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17.  Имеется  ли лицензия на осуществление видов деятельности в случае,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    в    соответствии   с   действующим   законодательством   требуется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лицензирование   данного   вида   деятельности  (указать  "да"  или  "нет")____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18.  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Банковские  реквизиты для оказания финансовой поддержки (в случае,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на момент подачи заявки расчетный счет открыт) ______________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Руководитель  организации  (индивидуальный  предприниматель)  дает свое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   на   обработку   сведений/персональных  данных,  содержащихся  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представленных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организации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(индивидуальный предприниматель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________________ (_______________________)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бухгалтер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 (_______________________)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"____" _______________ 20___ г.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Приложение № 2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оказания финансовой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 для оказания финансовой поддержки субъектам малого и среднего 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1) заявка на оказание финансовой поддержки субъектов малого и среднего предпринимательства (далее - финансовая поддержка) 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копия свидетельства о постановке на учет в налоговом органе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hyperlink r:id="rId43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(форма-4 ФСС)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копии документов, подтверждающих оплату за обучение,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пояснительная записка, обосновывающая необходимость обучения работников, подписанная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11) таблицы по экономическим показателям деятельности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применяемой системы налогообложения (таблица №1, № </w:t>
      </w:r>
      <w:hyperlink r:id="rId44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справка налогового органа об отсутствии у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17) копия паспорта гражданина Российской Федерации, заверенная заявителем, - для индивидуальных предпринимателей.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Перечень документов, необходимых для получения финансовой поддержки субъектами малого и среднего предпринимательства  в форме субсидирования части затрат по участию в выставках или ярмарках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заявка на оказание финансовой поддержки;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копия свидетельства о постановке на учет в налоговом органе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hyperlink r:id="rId45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(форма-4 ФСС)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копии документов об оплате предоставленных услуг, выполненных работ, связанных с участием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выставке или ярмарке,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таблицы по экономическим показателям деятельности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применяемой системы налогообложения (</w:t>
      </w:r>
      <w:hyperlink r:id="rId46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таблица № 1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 </w:t>
      </w:r>
      <w:hyperlink r:id="rId47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справка налогового органа об отсутствии у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справка об отсутствии задолженности в Фонд социального страхования Российской Федерации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  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копия паспорта гражданина Российской Федерации, заверенная заявителем, - для индивидуальных предпринимателей.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заявка на оказание финансовой поддержки;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копия свидетельства о постановке на учет в налоговом органе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hyperlink r:id="rId48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(форма-4 ФСС)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 копия договора аренды, заверенная заявителем и арендодателем;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копии документов, подтверждающих оплату арендных платежей,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таблицы экономических показателей деятельности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применяемой системы налогообложения (</w:t>
      </w:r>
      <w:hyperlink r:id="rId49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таблица № 1, № 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 </w:t>
      </w:r>
      <w:hyperlink r:id="rId50" w:history="1">
        <w:r w:rsidRPr="00002005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справка-подтверждение</w:t>
        </w:r>
      </w:hyperlink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справка налогового органа об отсутствии у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просроченной задолженности по налоговым и иным обязательным платежам в бюджетную систему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зарегистрированных ранее года оказания финансовой поддержки;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16) копия паспорта гражданина Российской Федерации, заверенная заявителем, - для индивидуальных предпринимателей.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При обучении своих работников на нескольких обучающих курсах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подается одна заявка с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указанием курсов и обучающих организаций, количества обучающихся.</w:t>
      </w:r>
      <w:bookmarkStart w:id="2" w:name="Par4168"/>
      <w:bookmarkEnd w:id="2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Применяемые сокращения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ЕГРИП - Единый государственный реестр индивидуальных предпринимателей;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ЕГРЮЛ - Единый государственный реестр юридических лиц;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субъекты малого и среднего предпринимательства.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51"/>
        <w:tblW w:w="14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651"/>
        <w:gridCol w:w="2552"/>
        <w:gridCol w:w="1701"/>
        <w:gridCol w:w="3260"/>
      </w:tblGrid>
      <w:tr w:rsidR="00F20AF3" w:rsidRPr="00002005" w:rsidTr="00F20AF3">
        <w:trPr>
          <w:trHeight w:val="20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Годы, предшествующие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финансовой поддержке*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оказания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финансовой поддержки,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 за год (план)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2-й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1-й год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 от ведения предпринимательской деятельности, тыс. рублей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Среднесписочная численность работников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внешних совместителей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заработная плата, руб. (п. 3/п. 2.1/кол-во месяцев)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Поступление налогов в   бюджет   (тыс. рублей), всего,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 (НДФЛ)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экономических показателей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финансовой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 № 1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Экономические показатели деятельности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применяющего общую систему налогообложения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организации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 (_________________________)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(индивидуальный предприниматель)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2"/>
        <w:tblW w:w="148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801"/>
        <w:gridCol w:w="1417"/>
        <w:gridCol w:w="1843"/>
        <w:gridCol w:w="2693"/>
        <w:gridCol w:w="2268"/>
      </w:tblGrid>
      <w:tr w:rsidR="00F20AF3" w:rsidRPr="00002005" w:rsidTr="00F20AF3">
        <w:trPr>
          <w:trHeight w:val="567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Годы, предшествующие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финансовой поддержке*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оказания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финансовой поддержки</w:t>
            </w:r>
          </w:p>
        </w:tc>
      </w:tr>
      <w:tr w:rsidR="00F20AF3" w:rsidRPr="00002005" w:rsidTr="00F20AF3">
        <w:trPr>
          <w:trHeight w:val="1200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2-й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1-й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последний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отчетный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**(</w:t>
            </w: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год (план)</w:t>
            </w:r>
          </w:p>
        </w:tc>
      </w:tr>
      <w:tr w:rsidR="00F20AF3" w:rsidRPr="00002005" w:rsidTr="00F20AF3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120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Среднесписочная численность работников (включая выполнявших работы по договорам гражданско-</w:t>
            </w:r>
            <w:proofErr w:type="gramEnd"/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правового характера), всего, человек, из нее: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40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внешних совместителей)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154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внешних совместителей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1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79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Фонд начисленной заработной платы работников </w:t>
            </w: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списочного</w:t>
            </w:r>
            <w:proofErr w:type="gramEnd"/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состава, 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80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заработная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плата, руб.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(п. 3/п. 2.1/кол-во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100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Поступление налогов   бюджет   (тыс. рублей), всего,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40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физических лиц (НДФЛ)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529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единый налог (для упрощенной системы налогообложения)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122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13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rPr>
          <w:trHeight w:val="60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единый налог </w:t>
            </w: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вмененный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 для отдельных видов</w:t>
            </w:r>
          </w:p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20AF3" w:rsidRPr="00002005" w:rsidTr="00F20AF3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0AF3" w:rsidRPr="00002005" w:rsidRDefault="00F20AF3" w:rsidP="00F20A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 № 2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Экономические показатели деятельности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применяющего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организации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_____________________(_________________________)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(индивидуальный предприниматель)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Примечания:</w:t>
      </w:r>
      <w:bookmarkStart w:id="3" w:name="Par331"/>
      <w:bookmarkStart w:id="4" w:name="Par333"/>
      <w:bookmarkEnd w:id="3"/>
      <w:bookmarkEnd w:id="4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Par3367"/>
      <w:bookmarkEnd w:id="5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**Заполняется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применяющими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3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оказания финансовой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 и порядок предоставления финансовой поддержки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определенным категориям субъектов малого и среднего предпринимательства</w:t>
      </w:r>
    </w:p>
    <w:tbl>
      <w:tblPr>
        <w:tblpPr w:leftFromText="180" w:rightFromText="180" w:vertAnchor="text" w:horzAnchor="margin" w:tblpY="198"/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239"/>
        <w:gridCol w:w="1965"/>
        <w:gridCol w:w="6379"/>
        <w:gridCol w:w="3685"/>
      </w:tblGrid>
      <w:tr w:rsidR="00002005" w:rsidRPr="00002005" w:rsidTr="00F20AF3"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 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 поддержки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получателей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предоставления поддержки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Величина поддержки и порядок предоставления</w:t>
            </w:r>
          </w:p>
        </w:tc>
      </w:tr>
      <w:tr w:rsidR="00002005" w:rsidRPr="00002005" w:rsidTr="00F20AF3">
        <w:trPr>
          <w:trHeight w:val="11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Субсидирование части затрат на  обучение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своих работников на образовательных курсах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заинтересованные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имеющие потребность в обучении своих работников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отсутствие задолженности по налогам и сборам в бюджетную систему Российской Федерации;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2)обеспечение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проработавших не менее трех лет).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50% от стоимости курса (курсов) обучения, но не более 20 тыс. руб. в год.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002005" w:rsidRPr="00002005" w:rsidTr="00F20AF3"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принимающие</w:t>
            </w:r>
            <w:proofErr w:type="gram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выставках или ярмарках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проработавших не менее трех лет);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50% затрат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месту проведения ярмарки (выставки) и расходы по их проживанию, но не более 20 тыс. рублей в год.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Выплачивается единовременно после принятия решения Комиссией.</w:t>
            </w:r>
          </w:p>
        </w:tc>
      </w:tr>
      <w:tr w:rsidR="00002005" w:rsidRPr="00002005" w:rsidTr="00F20AF3"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Субсидирование части арендных платежей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проработавших не менее трех лет);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50% от величины арендной платы (без НДС), но не более 200 руб. за 1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СМиСП</w:t>
            </w:r>
            <w:proofErr w:type="spellEnd"/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 января года оказания финансовой поддержки.</w:t>
            </w:r>
          </w:p>
          <w:p w:rsidR="00002005" w:rsidRPr="00002005" w:rsidRDefault="00002005" w:rsidP="000020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ед. 1): сельское хозяйство, охота и лесное хозяйство; </w:t>
      </w:r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сброженных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</w:t>
      </w:r>
      <w:proofErr w:type="gram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сброженных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  <w:proofErr w:type="gramEnd"/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видом деятельности является тот вид деятельности, доход от ведения предпринимательской деятельности от которого в отчетном периоде составляет </w:t>
      </w: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более 50 процентов от общей суммы выручки от реализации товаров, работ и услуг.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 Учитывается только численность списочного состава (без внешних совместителей).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используемых сокращений: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 w:rsidRPr="00002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субъекты малого и среднего предпринимательства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2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ШУРЫГИНСКОГО СЕЛЬСОВЕТА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ЧЕРЕПАНОВСКОГО  РАЙОНА  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0A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 №  108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Шурыгинского сельсовета Черепановского района Новосибирской области  на 2024-2026 годы»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08.01.1998 г. № 3-ФЗ "О наркотических средствах и психотропных веществах", согласно  Федеральному закону от 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06.10.2003г. №131-ФЗ "</w:t>
      </w:r>
      <w:r w:rsidRPr="00F20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Федерации"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Шурыгинского сельсовета Черепановского района Новосибирской области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20AF3" w:rsidRPr="00F20AF3" w:rsidRDefault="00F20AF3" w:rsidP="00F20AF3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Шурыгинского сельсовета Черепановского района Новосибирской области  на 2024-2026 годы».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Опубликовать настоящее постановление в газете  «Сельские вести» и разместить на официальном сайте администрации Шурыгинского сельсовета Черепановского района Новосибирской области  </w:t>
      </w:r>
      <w:r w:rsidRPr="00F20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F20AF3" w:rsidRPr="00F20AF3" w:rsidRDefault="00F20AF3" w:rsidP="00F20AF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</w:t>
      </w:r>
      <w:proofErr w:type="gram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Шурыгинского сельсовета 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Л.Н. Филиппи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Шурыгинского сельсовета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04.12.2023 г.  №108</w:t>
      </w:r>
    </w:p>
    <w:p w:rsidR="00F20AF3" w:rsidRPr="00F20AF3" w:rsidRDefault="00F20AF3" w:rsidP="00F20A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Шурыгинского сельсовета Черепановского района Новосибирской области  на 2024-2026 годы»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Паспорт МП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Характеристика проблемы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Обоснование ресурсного обеспечения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Механизм реализации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результативности</w:t>
      </w:r>
      <w:proofErr w:type="gramEnd"/>
    </w:p>
    <w:p w:rsidR="00F20AF3" w:rsidRPr="00F20AF3" w:rsidRDefault="00F20AF3" w:rsidP="00F20AF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 сельсовета Черепановского района Новосибирской области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 сельсовета Черепановского района Новосибирской области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4676"/>
      </w:tblGrid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 Муниципальной программы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"Комплексные меры противодействия  злоупотреблению наркотиками и их незаконному обороту на территории Шурыгинского сельсовета Черепановского района Новосибирской области</w:t>
            </w: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2024-2026 годы".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Шурыгинского сельсовета Черепановского района Новосибирской области.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заказчик-координатор </w:t>
            </w:r>
          </w:p>
        </w:tc>
        <w:tc>
          <w:tcPr>
            <w:tcW w:w="4676" w:type="dxa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антинаркотическая комиссия Шурыгинского сельсовета Черепановского района Новосибирской области. 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Муниципальный заказчик </w:t>
            </w:r>
          </w:p>
        </w:tc>
        <w:tc>
          <w:tcPr>
            <w:tcW w:w="4676" w:type="dxa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администрация Шурыгинского сельсовета Черепановского района Новосибирской области. 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AF3" w:rsidRPr="00F20AF3" w:rsidTr="00F20AF3">
        <w:tc>
          <w:tcPr>
            <w:tcW w:w="2980" w:type="dxa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 Муниципальной программы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здорового образа жизни и проведение культурного досуга;</w:t>
            </w:r>
          </w:p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Муниципальной программы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борьбы с незаконным оборотом наркотиков;</w:t>
            </w:r>
          </w:p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поэтапное сокращение распространения наркомании, связанных с ней преступлений и правонарушений  до уровня минимальной опасности для </w:t>
            </w: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общества;</w:t>
            </w:r>
          </w:p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в установленном порядке очагов дикорастущей конопли, произрастающей на территории Шурыгинского сельсовета Черепановского района новосибирской области механическим, либо способом химической обработки;</w:t>
            </w:r>
          </w:p>
          <w:p w:rsidR="00F20AF3" w:rsidRPr="00F20AF3" w:rsidRDefault="00F20AF3" w:rsidP="00F20AF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привлечению молодежи к занятиям спортом;</w:t>
            </w:r>
          </w:p>
        </w:tc>
      </w:tr>
      <w:tr w:rsidR="00F20AF3" w:rsidRPr="00F20AF3" w:rsidTr="00F20AF3">
        <w:tc>
          <w:tcPr>
            <w:tcW w:w="2980" w:type="dxa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 Муниципальной программы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программных мероприятий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  Муниципальной программе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местного бюджета: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г. –    1  рублей            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 –    1  рублей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 –    1 000  рублей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       3 000  рублей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4676" w:type="dxa"/>
            <w:hideMark/>
          </w:tcPr>
          <w:p w:rsidR="00F20AF3" w:rsidRPr="00F20AF3" w:rsidRDefault="00F20AF3" w:rsidP="00F20AF3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числа случаев выявления злоупотреблений наркотическими средствами и незаконного оборота </w:t>
            </w: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наркотических средств на  5 - 10%;</w:t>
            </w:r>
          </w:p>
          <w:p w:rsidR="00F20AF3" w:rsidRPr="00F20AF3" w:rsidRDefault="00F20AF3" w:rsidP="00F20AF3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системы антинаркотической пропаганды;</w:t>
            </w:r>
          </w:p>
          <w:p w:rsidR="00F20AF3" w:rsidRPr="00F20AF3" w:rsidRDefault="00F20AF3" w:rsidP="00F20AF3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F20AF3" w:rsidRPr="00F20AF3" w:rsidRDefault="00F20AF3" w:rsidP="00F20AF3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площади произрастания очагов дикорастущей конопли на территории Шурыгинского сельсовета Черепановского района Новосибирской области.</w:t>
            </w:r>
          </w:p>
        </w:tc>
      </w:tr>
      <w:tr w:rsidR="00F20AF3" w:rsidRPr="00F20AF3" w:rsidTr="00F20AF3">
        <w:tc>
          <w:tcPr>
            <w:tcW w:w="2980" w:type="dxa"/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муниципальной программы</w:t>
            </w:r>
          </w:p>
        </w:tc>
        <w:tc>
          <w:tcPr>
            <w:tcW w:w="4676" w:type="dxa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 осуществляет антинаркотическая комиссия Шурыгинского сельсовета Черепановского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AF3" w:rsidRPr="00F20AF3" w:rsidTr="00F20AF3">
        <w:trPr>
          <w:cantSplit/>
        </w:trPr>
        <w:tc>
          <w:tcPr>
            <w:tcW w:w="7656" w:type="dxa"/>
            <w:gridSpan w:val="2"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Характеристика проблемы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Шурыгинского сельсовета Черепановского района Новосибирской области на 2024-2026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ее подготовки и последующая реализация вызвана тем, что ситуация на территории Шурыгинского сельсовета Черепановского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Наркоманию можно уподобить любому друго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хроническому заболеванию, будь то туберку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лез или ревматизм, поэтому к наркоману нужно </w:t>
      </w:r>
      <w:proofErr w:type="gram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proofErr w:type="gram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как к больному челове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ку, неспособному самостоятельно справиться с недугом. Однако, положение </w:t>
      </w:r>
      <w:proofErr w:type="gram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наркомана</w:t>
      </w:r>
      <w:proofErr w:type="gram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сложнее, чем положение любого другого больно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го. Во-первых, изменившийся за время наркома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ческое опьянение ассоциируется в сознании боль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 чувством удовольствия, он иначе относит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своему страданию. Если больной туберкуле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мо, как и вода и пища. Его организм перестроился и больше не может жить без наркотика, его нужно переучивать заново, при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выкать к новому существованию в отсутствии наркотика.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F20AF3" w:rsidRPr="00F20AF3" w:rsidRDefault="00F20AF3" w:rsidP="00F20A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дезоморфин</w:t>
      </w:r>
      <w:proofErr w:type="spell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приготовленный из </w:t>
      </w:r>
      <w:proofErr w:type="spell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кодеиносодержащих</w:t>
      </w:r>
      <w:proofErr w:type="spell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препаратов.</w:t>
      </w:r>
    </w:p>
    <w:p w:rsidR="00F20AF3" w:rsidRPr="00F20AF3" w:rsidRDefault="00F20AF3" w:rsidP="00F20A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доходов и незанятого населения наркоторговцами формируется сеть преступного сбыта наркотиков. </w:t>
      </w:r>
    </w:p>
    <w:p w:rsidR="00F20AF3" w:rsidRPr="00F20AF3" w:rsidRDefault="00F20AF3" w:rsidP="00F20A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numPr>
          <w:ilvl w:val="0"/>
          <w:numId w:val="3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</w:t>
      </w:r>
      <w:proofErr w:type="spell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</w:t>
      </w:r>
      <w:proofErr w:type="gram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выявления лиц, допускающих немедицинское употребление наркотиков;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антинаркотической пропаганды;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укрепление межмуниципального сотрудничества в борьбе с </w:t>
      </w:r>
      <w:proofErr w:type="spell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</w:t>
      </w:r>
      <w:proofErr w:type="spell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борьбы с незаконным оборотом наркотиков;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просветительной работы с населением;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очагов дикорастущей конопли на территории муниципального образования;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F20AF3" w:rsidRPr="00F20AF3" w:rsidRDefault="00F20AF3" w:rsidP="00F20AF3">
      <w:pPr>
        <w:numPr>
          <w:ilvl w:val="1"/>
          <w:numId w:val="3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борьбы с незаконным оборотом наркотиков.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2024-2026 годы.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прилагается к данной Программе (Приложение № 1).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.Обоснование ресурсного обеспечения</w:t>
      </w:r>
    </w:p>
    <w:p w:rsidR="00F20AF3" w:rsidRPr="00F20AF3" w:rsidRDefault="00F20AF3" w:rsidP="00F2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мероприятий Программы требуется  3000</w:t>
      </w:r>
      <w:r w:rsidRPr="00F20A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счет средств местного  бюджета: </w:t>
      </w:r>
    </w:p>
    <w:p w:rsidR="00F20AF3" w:rsidRPr="00F20AF3" w:rsidRDefault="00F20AF3" w:rsidP="00F2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   1000 рублей            </w:t>
      </w:r>
    </w:p>
    <w:p w:rsidR="00F20AF3" w:rsidRPr="00F20AF3" w:rsidRDefault="00F20AF3" w:rsidP="00F2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–    1000 рублей</w:t>
      </w:r>
    </w:p>
    <w:p w:rsidR="00F20AF3" w:rsidRPr="00F20AF3" w:rsidRDefault="00F20AF3" w:rsidP="00F2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г. –    1 000 рублей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Механизм реализации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 w:rsidR="00F20AF3" w:rsidRPr="00F20AF3" w:rsidRDefault="00F20AF3" w:rsidP="00F2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</w:t>
      </w:r>
      <w:proofErr w:type="gramStart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F20AF3" w:rsidRPr="00F20AF3" w:rsidRDefault="00F20AF3" w:rsidP="00F2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Исполнителями Программы являются: </w:t>
      </w:r>
    </w:p>
    <w:p w:rsidR="00F20AF3" w:rsidRPr="00F20AF3" w:rsidRDefault="00F20AF3" w:rsidP="00F2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образования.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Оценка результативности</w:t>
      </w: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реализация Программы   позволит достичь следующих результатов:</w:t>
      </w:r>
    </w:p>
    <w:p w:rsidR="00F20AF3" w:rsidRPr="00F20AF3" w:rsidRDefault="00F20AF3" w:rsidP="00F20AF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 во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F20AF3" w:rsidRPr="00F20AF3" w:rsidRDefault="00F20AF3" w:rsidP="00F20AF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распространения наркомании, связанных с ней преступлений и правонарушений  до 3 %;</w:t>
      </w:r>
    </w:p>
    <w:p w:rsidR="00F20AF3" w:rsidRPr="00F20AF3" w:rsidRDefault="00F20AF3" w:rsidP="00F20AF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 w:rsidR="00F20AF3" w:rsidRPr="00F20AF3" w:rsidRDefault="00F20AF3" w:rsidP="00F20AF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случаев выявления злоупотреблений наркотическими средствами на 3 %;</w:t>
      </w:r>
    </w:p>
    <w:p w:rsidR="00F20AF3" w:rsidRPr="00F20AF3" w:rsidRDefault="00F20AF3" w:rsidP="00F20AF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выявленных преступлений, связанных с незаконным оборотом наркотических средств  на 3%;</w:t>
      </w:r>
    </w:p>
    <w:p w:rsidR="00F20AF3" w:rsidRPr="00F20AF3" w:rsidRDefault="00F20AF3" w:rsidP="00F20AF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очагов произрастания дикорастущей конопли на территории муниципального образования.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№1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«Комплексные меры противодействия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злоупотреблению наркотиками и их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незаконному обороту на территории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 сельсовета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F20AF3" w:rsidRPr="00F20AF3" w:rsidRDefault="00F20AF3" w:rsidP="00F2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2024-2026 годы».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программных мероприятий 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F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Шурыгинского  сельсовета Черепановского района Новосибирской области  на 2024-2026 годы»</w:t>
      </w:r>
    </w:p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16" w:type="dxa"/>
        <w:jc w:val="center"/>
        <w:tblCellSpacing w:w="0" w:type="dxa"/>
        <w:tblInd w:w="3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196"/>
        <w:gridCol w:w="1437"/>
        <w:gridCol w:w="692"/>
        <w:gridCol w:w="660"/>
        <w:gridCol w:w="640"/>
        <w:gridCol w:w="39"/>
        <w:gridCol w:w="2129"/>
      </w:tblGrid>
      <w:tr w:rsidR="00770337" w:rsidRPr="00F20AF3" w:rsidTr="00770337">
        <w:trPr>
          <w:tblCellSpacing w:w="0" w:type="dxa"/>
          <w:jc w:val="center"/>
        </w:trPr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тыс. руб.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770337" w:rsidRPr="00F20AF3" w:rsidTr="00770337">
        <w:trPr>
          <w:trHeight w:val="437"/>
          <w:tblCellSpacing w:w="0" w:type="dxa"/>
          <w:jc w:val="center"/>
        </w:trPr>
        <w:tc>
          <w:tcPr>
            <w:tcW w:w="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0337" w:rsidRPr="00F20AF3" w:rsidTr="00770337">
        <w:trPr>
          <w:tblCellSpacing w:w="0" w:type="dxa"/>
          <w:jc w:val="center"/>
        </w:trPr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770337" w:rsidRPr="00F20AF3" w:rsidTr="00770337">
        <w:trPr>
          <w:tblCellSpacing w:w="0" w:type="dxa"/>
          <w:jc w:val="center"/>
        </w:trPr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СМИ и на </w:t>
            </w: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администрации муниципального образования информации по профилактике наркомании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 (не </w:t>
            </w: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реже одного раза в квартал)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(не реже одного раза в квартал)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(не реже одного раза в квартал)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770337" w:rsidRPr="00F20AF3" w:rsidTr="00770337">
        <w:trPr>
          <w:tblCellSpacing w:w="0" w:type="dxa"/>
          <w:jc w:val="center"/>
        </w:trPr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специалист администрации </w:t>
            </w:r>
          </w:p>
        </w:tc>
      </w:tr>
      <w:tr w:rsidR="00770337" w:rsidRPr="00F20AF3" w:rsidTr="00770337">
        <w:trPr>
          <w:trHeight w:val="2385"/>
          <w:tblCellSpacing w:w="0" w:type="dxa"/>
          <w:jc w:val="center"/>
        </w:trPr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органами  полиции в целях выявления незаконных посевов </w:t>
            </w:r>
            <w:proofErr w:type="spellStart"/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наркокультур</w:t>
            </w:r>
            <w:proofErr w:type="spellEnd"/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специалист администрации 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полиции   (по согласованию)</w:t>
            </w:r>
          </w:p>
        </w:tc>
      </w:tr>
      <w:tr w:rsidR="00770337" w:rsidRPr="00F20AF3" w:rsidTr="00770337">
        <w:trPr>
          <w:trHeight w:val="210"/>
          <w:tblCellSpacing w:w="0" w:type="dxa"/>
          <w:jc w:val="center"/>
        </w:trPr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очагов произрастания дикорастущей конопли на территории </w:t>
            </w: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2025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770337" w:rsidRPr="00F20AF3" w:rsidTr="00770337">
        <w:trPr>
          <w:trHeight w:val="255"/>
          <w:tblCellSpacing w:w="0" w:type="dxa"/>
          <w:jc w:val="center"/>
        </w:trPr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2025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F3" w:rsidRPr="00F20AF3" w:rsidRDefault="00F20AF3" w:rsidP="00F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</w:tbl>
    <w:p w:rsidR="00F20AF3" w:rsidRPr="00F20AF3" w:rsidRDefault="00F20AF3" w:rsidP="00F20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АДМИНИСТРАЦИЯ ШУРЫГИНСКОГО СЕЛЬСОВЕТА      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04.12.2023  № 109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по обеспечению первичных мер пожарной безопасности  на территории Шурыгинского сельсовета Черепановского района Новосибирской области на 2024 год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 в населенных пунктах,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администрация Шурыгинского сельсовета Черепановского района Новосибирской области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  прилагаемую муниципальную программу   по обеспечению первичных мер пожарной безопасности на территории Шурыгинского сельсовета Черепановского района Новосибирской области на 2024 год.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 газете  "Сельские вести" и разместить на официальном сайте администрации Шурыгинского сельсовета Черепановского района Новосибирской области в сети Интернет.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 Шурыгинского сельсовета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       </w:t>
      </w:r>
      <w:proofErr w:type="spell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Л.Н.Филиппи</w:t>
      </w:r>
      <w:proofErr w:type="spell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Исп. Е.А. </w:t>
      </w:r>
      <w:proofErr w:type="spell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Мумбер</w:t>
      </w:r>
      <w:proofErr w:type="spellEnd"/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8(383 45) 62-280                                                                                                                                    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постановлением администрации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Шурыгинского сельсовета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04.12.2023 № 109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Муниципальная программа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обеспечению первичных мер пожарной безопасности на территории  Шурыгинского сельсовета Черепановского района Новосибирской области на 2024 год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Наименование Программы: Муниципальная программа по обеспечению первичных мер пожарной безопасности на территории Шурыгинского сельсовета Черепановского района Новосибирской области на 2024 год (далее по тексту – Программа).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Программы является обеспечение выполнения первичных мер пожарной безопасности в населенных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меры пожарной безопасности включают в себя: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Шурыгинского сельсовета Черепановского района Новосибирской области (далее по тексту – поселение);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Программы: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- 1 квартал 2024 г.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Окончание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- 4 квартал 2024 г.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Программы: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предусматривает решение вопросов (проблем) по выбранному направлению: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собственности, наличие сил и сре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тушения пожаров);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 за исполнение Программы: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  поселения.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финансирования Программы.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за счет средств местного бюджета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составляет 0 рублей.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конечные результаты.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Первичные меры пожарной безопасности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меры пожарной безопасности включают в себя: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сил и сре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тушения пожаров или договора с подразделением пожарной охраны на обеспечение пожарной безопасности;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разработку плана привлечения сил и сре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тушения пожаров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проведения аварийно-спасательных работ на территории поселения и 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выполнением;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беспрепятственного  проезда пожарной техники к месту пожара;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связи и оповещения населения о пожаре;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организацию обучения населения мерам пожарной безопасности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пропаганду в области пожарной безопасности, содействие распространению пожарно-технических знаний;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Состояние проблемы и обоснование необходимости ее решения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некоторых учреждениях отсутствие  систем автоматической пожарной сигнализации, оповещения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людей при пожаре, на объектах социальной и жилой сферы;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пожарных мотопомп в населенных пунктах.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Структура Программы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состоит из трех направлений: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№1: 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определение сил и сре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установка на территории населенных пунктов сре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зв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уковой сигнализации для оповещения людей на случай пожара;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№ 2 – методическое обеспечение пожарной безопасности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направление предусматривает подготовку нормативных (распорядительных) и методических документов в связи с выходом новых законодательных и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иных нормативно-правовых актов по пожарной безопасности.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частности предусматривается: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№ 3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организацию обучения населения мерам пожарной безопасности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пропаганду в области пожарной безопасности, содействие распространению пожарно-технических знаний;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 муниципальной программе по обеспечению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первичных мер пожарной безопасности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  Шурыгинского сельсовета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на  2024 год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обеспечению первичных мер пожарной безопасности на территории   Шурыгинского сельсовета Черепановского района Новосибирской области на  2024 год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Наименование мероприятий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Срок исполнения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Финансирование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Ответственный за исполнение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Проведение работ с населением по ознакомлению с правилами пожарной безопасности в </w:t>
      </w:r>
      <w:proofErr w:type="spell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весенне</w:t>
      </w:r>
      <w:proofErr w:type="spell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летний  и </w:t>
      </w:r>
      <w:proofErr w:type="spell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</w:t>
      </w:r>
      <w:proofErr w:type="spell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–з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имний периоды.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Ежеквартально, в течение срока реализации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Уполномоченный специалист администрации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жеквартально, в течение срока реализации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Уполномоченный специалист администрации, Глава поселения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Приобретение противопожарного инвентаря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2024 года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Главы поселения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Выкос сухой травы на пустырях и заброшенных участках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Март 2024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Сентябрь 2024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Глава поселения</w:t>
      </w:r>
    </w:p>
    <w:p w:rsidR="00770337" w:rsidRPr="00770337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Создание  минерализованных полос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2024 года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Глава поселения</w:t>
      </w:r>
    </w:p>
    <w:p w:rsidR="00002005" w:rsidRPr="00002005" w:rsidRDefault="00770337" w:rsidP="007703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Информационное обеспечение, противопожарная пропаганда мер пожарной безопасности</w:t>
      </w:r>
      <w:proofErr w:type="gramStart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</w:t>
      </w:r>
      <w:proofErr w:type="gramEnd"/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жеквартально, в течение срока реализации 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Без финансирования</w:t>
      </w:r>
      <w:r w:rsidRPr="00770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Уполномоченный специалист администрации</w:t>
      </w: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05" w:rsidRPr="00002005" w:rsidRDefault="00002005" w:rsidP="00002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67" w:rsidRPr="00D12B95" w:rsidRDefault="003A0AE3" w:rsidP="009A0E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957183" wp14:editId="123083A3">
                <wp:simplePos x="0" y="0"/>
                <wp:positionH relativeFrom="column">
                  <wp:posOffset>4963795</wp:posOffset>
                </wp:positionH>
                <wp:positionV relativeFrom="paragraph">
                  <wp:posOffset>3054350</wp:posOffset>
                </wp:positionV>
                <wp:extent cx="4239895" cy="598805"/>
                <wp:effectExtent l="0" t="0" r="825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E3" w:rsidRDefault="003A0AE3" w:rsidP="003A0AE3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Редакционный Совет:    О.А. Роговцева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Л.Н. Филиппи, Н.М. Апанасенко Тираж 90 экземпляров. Распространяется беспл</w:t>
                            </w:r>
                            <w:bookmarkStart w:id="6" w:name="_GoBack"/>
                            <w:bookmarkEnd w:id="6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атно  42 страницы.</w:t>
                            </w:r>
                          </w:p>
                          <w:p w:rsidR="003A0AE3" w:rsidRDefault="003A0AE3" w:rsidP="003A0AE3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A0AE3" w:rsidRDefault="003A0AE3" w:rsidP="003A0AE3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тираж </w:t>
                            </w:r>
                          </w:p>
                          <w:p w:rsidR="003A0AE3" w:rsidRDefault="003A0AE3" w:rsidP="003A0AE3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A0AE3" w:rsidRDefault="003A0AE3" w:rsidP="003A0AE3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A0AE3" w:rsidRDefault="003A0AE3" w:rsidP="003A0AE3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85pt;margin-top:240.5pt;width:333.85pt;height:4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vqCgMAALY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" filled="f" stroked="f" strokecolor="black [0]" insetpen="t">
                <v:textbox inset="2.88pt,2.88pt,2.88pt,2.88pt">
                  <w:txbxContent>
                    <w:p w:rsidR="003A0AE3" w:rsidRDefault="003A0AE3" w:rsidP="003A0AE3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Редакционный Совет:    О.А. Роговцева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Л.Н. Филиппи, Н.М. Апанасенко Тираж 90 экземпляров. Распространяется беспл</w:t>
                      </w:r>
                      <w:bookmarkStart w:id="7" w:name="_GoBack"/>
                      <w:bookmarkEnd w:id="7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атно  42 страницы.</w:t>
                      </w:r>
                    </w:p>
                    <w:p w:rsidR="003A0AE3" w:rsidRDefault="003A0AE3" w:rsidP="003A0AE3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A0AE3" w:rsidRDefault="003A0AE3" w:rsidP="003A0AE3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тираж </w:t>
                      </w:r>
                    </w:p>
                    <w:p w:rsidR="003A0AE3" w:rsidRDefault="003A0AE3" w:rsidP="003A0AE3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A0AE3" w:rsidRDefault="003A0AE3" w:rsidP="003A0AE3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A0AE3" w:rsidRDefault="003A0AE3" w:rsidP="003A0AE3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0E67" w:rsidRPr="00D12B95" w:rsidSect="007A0416">
      <w:type w:val="continuous"/>
      <w:pgSz w:w="16838" w:h="11906" w:orient="landscape"/>
      <w:pgMar w:top="1134" w:right="567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4D" w:rsidRDefault="0054524D" w:rsidP="00947433">
      <w:pPr>
        <w:spacing w:after="0" w:line="240" w:lineRule="auto"/>
      </w:pPr>
      <w:r>
        <w:separator/>
      </w:r>
    </w:p>
  </w:endnote>
  <w:endnote w:type="continuationSeparator" w:id="0">
    <w:p w:rsidR="0054524D" w:rsidRDefault="0054524D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4D" w:rsidRDefault="0054524D" w:rsidP="00947433">
      <w:pPr>
        <w:spacing w:after="0" w:line="240" w:lineRule="auto"/>
      </w:pPr>
      <w:r>
        <w:separator/>
      </w:r>
    </w:p>
  </w:footnote>
  <w:footnote w:type="continuationSeparator" w:id="0">
    <w:p w:rsidR="0054524D" w:rsidRDefault="0054524D" w:rsidP="0094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4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2476E84"/>
    <w:multiLevelType w:val="hybridMultilevel"/>
    <w:tmpl w:val="84CAB5A2"/>
    <w:lvl w:ilvl="0" w:tplc="77A6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32"/>
  </w:num>
  <w:num w:numId="4">
    <w:abstractNumId w:val="1"/>
  </w:num>
  <w:num w:numId="5">
    <w:abstractNumId w:val="35"/>
  </w:num>
  <w:num w:numId="6">
    <w:abstractNumId w:val="28"/>
  </w:num>
  <w:num w:numId="7">
    <w:abstractNumId w:val="27"/>
  </w:num>
  <w:num w:numId="8">
    <w:abstractNumId w:val="2"/>
  </w:num>
  <w:num w:numId="9">
    <w:abstractNumId w:val="22"/>
  </w:num>
  <w:num w:numId="10">
    <w:abstractNumId w:val="1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6"/>
  </w:num>
  <w:num w:numId="27">
    <w:abstractNumId w:val="31"/>
  </w:num>
  <w:num w:numId="28">
    <w:abstractNumId w:val="30"/>
  </w:num>
  <w:num w:numId="29">
    <w:abstractNumId w:val="13"/>
  </w:num>
  <w:num w:numId="30">
    <w:abstractNumId w:val="25"/>
  </w:num>
  <w:num w:numId="31">
    <w:abstractNumId w:val="33"/>
  </w:num>
  <w:num w:numId="32">
    <w:abstractNumId w:val="18"/>
  </w:num>
  <w:num w:numId="33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  <w:num w:numId="38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02005"/>
    <w:rsid w:val="00013DEE"/>
    <w:rsid w:val="00026D40"/>
    <w:rsid w:val="0004746D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1797A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A46DD"/>
    <w:rsid w:val="002B1DB7"/>
    <w:rsid w:val="002D0913"/>
    <w:rsid w:val="002D671A"/>
    <w:rsid w:val="002E2D41"/>
    <w:rsid w:val="002E3371"/>
    <w:rsid w:val="002E582B"/>
    <w:rsid w:val="00303452"/>
    <w:rsid w:val="00334E07"/>
    <w:rsid w:val="00346259"/>
    <w:rsid w:val="00346349"/>
    <w:rsid w:val="0035611B"/>
    <w:rsid w:val="00364702"/>
    <w:rsid w:val="003730BC"/>
    <w:rsid w:val="00374E3E"/>
    <w:rsid w:val="00376687"/>
    <w:rsid w:val="003919CB"/>
    <w:rsid w:val="003A0AE3"/>
    <w:rsid w:val="003B4811"/>
    <w:rsid w:val="003C4EE3"/>
    <w:rsid w:val="003E62F4"/>
    <w:rsid w:val="003F1F11"/>
    <w:rsid w:val="004160A4"/>
    <w:rsid w:val="00417BC2"/>
    <w:rsid w:val="004377E9"/>
    <w:rsid w:val="0044156F"/>
    <w:rsid w:val="00442686"/>
    <w:rsid w:val="00467697"/>
    <w:rsid w:val="00470831"/>
    <w:rsid w:val="00475AF2"/>
    <w:rsid w:val="004C286A"/>
    <w:rsid w:val="004E4447"/>
    <w:rsid w:val="00523F37"/>
    <w:rsid w:val="00527DB2"/>
    <w:rsid w:val="00537993"/>
    <w:rsid w:val="00540A74"/>
    <w:rsid w:val="0054524D"/>
    <w:rsid w:val="00550BBC"/>
    <w:rsid w:val="005678D4"/>
    <w:rsid w:val="0057097E"/>
    <w:rsid w:val="0057689C"/>
    <w:rsid w:val="00580C39"/>
    <w:rsid w:val="00580CA9"/>
    <w:rsid w:val="005B1579"/>
    <w:rsid w:val="005B2796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70337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0E67"/>
    <w:rsid w:val="009A1620"/>
    <w:rsid w:val="009A41E3"/>
    <w:rsid w:val="009B0BF9"/>
    <w:rsid w:val="009B3F15"/>
    <w:rsid w:val="009D0F5B"/>
    <w:rsid w:val="009D56D6"/>
    <w:rsid w:val="009F72FC"/>
    <w:rsid w:val="00A204FD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E32D9"/>
    <w:rsid w:val="00AE6DD7"/>
    <w:rsid w:val="00AF1082"/>
    <w:rsid w:val="00AF2450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5236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5CBC"/>
    <w:rsid w:val="00F127E8"/>
    <w:rsid w:val="00F14122"/>
    <w:rsid w:val="00F20AF3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34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6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rsid w:val="0000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002005"/>
    <w:rPr>
      <w:rFonts w:ascii="Tahoma" w:eastAsia="Calibri" w:hAnsi="Tahoma" w:cs="Tahoma"/>
      <w:sz w:val="16"/>
      <w:szCs w:val="16"/>
      <w:lang w:eastAsia="zh-CN"/>
    </w:rPr>
  </w:style>
  <w:style w:type="paragraph" w:customStyle="1" w:styleId="Title">
    <w:name w:val="Title!Название НПА"/>
    <w:basedOn w:val="a"/>
    <w:rsid w:val="0000200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0020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34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6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rsid w:val="0000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002005"/>
    <w:rPr>
      <w:rFonts w:ascii="Tahoma" w:eastAsia="Calibri" w:hAnsi="Tahoma" w:cs="Tahoma"/>
      <w:sz w:val="16"/>
      <w:szCs w:val="16"/>
      <w:lang w:eastAsia="zh-CN"/>
    </w:rPr>
  </w:style>
  <w:style w:type="paragraph" w:customStyle="1" w:styleId="Title">
    <w:name w:val="Title!Название НПА"/>
    <w:basedOn w:val="a"/>
    <w:rsid w:val="0000200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0020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80AACA6A06078EA1B78D031FC736D8898A9662FD0EEFB966924709D5FF1969017AB3FEB3D0SAG" TargetMode="External"/><Relationship Id="rId18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26" Type="http://schemas.openxmlformats.org/officeDocument/2006/relationships/hyperlink" Target="file:///C:\content\act\8f21b21c-a408-42c4-b9fe-a939b863c84a.html" TargetMode="External"/><Relationship Id="rId39" Type="http://schemas.openxmlformats.org/officeDocument/2006/relationships/hyperlink" Target="consultantplus://offline/ref=6782A1E5A31CD20F4728A6CF1896A0B84F91F2C33140C5D2A71DE0F800v8m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FE442CEC0566736E906DA75A14C9967C9DA9AEF7799832A7538DFF149581EEC95300D9EADEdAX8O" TargetMode="External"/><Relationship Id="rId34" Type="http://schemas.openxmlformats.org/officeDocument/2006/relationships/hyperlink" Target="consultantplus://offline/ref=6782A1E5A31CD20F4728A6CF1896A0B84F91F2C33140C5D2A71DE0F800v8mED" TargetMode="External"/><Relationship Id="rId42" Type="http://schemas.openxmlformats.org/officeDocument/2006/relationships/hyperlink" Target="consultantplus://offline/ref=6782A1E5A31CD20F4728A6CF1896A0B84F92F2C63F4CC5D2A71DE0F800v8mED" TargetMode="External"/><Relationship Id="rId47" Type="http://schemas.openxmlformats.org/officeDocument/2006/relationships/hyperlink" Target="file:///E:\Users\&#1056;&#1119;&#1057;&#1026;&#1056;&#181;&#1056;&#1169;&#1056;&#1111;&#1057;&#1026;&#1056;&#1105;&#1056;&#1029;&#1056;&#1105;&#1056;&#1112;&#1056;&#176;&#1057;&#8218;&#1056;&#181;&#1056;" TargetMode="External"/><Relationship Id="rId50" Type="http://schemas.openxmlformats.org/officeDocument/2006/relationships/hyperlink" Target="consultantplus://offline/ref=6782A1E5A31CD20F4728A6CF1896A0B84F96F3C63C40C5D2A71DE0F8008E64FF12C3E25BE3DFFF7Ev0m8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17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25" Type="http://schemas.openxmlformats.org/officeDocument/2006/relationships/hyperlink" Target="consultantplus://offline/ref=64FE442CEC0566736E906DA75A14C9967C9DA9AEF7799832A7538DFF149581EEC95300D9EAD0dAX4O" TargetMode="External"/><Relationship Id="rId33" Type="http://schemas.openxmlformats.org/officeDocument/2006/relationships/hyperlink" Target="http://zakon.scli.ru/ru/legal_texts/act_municipal_education/extended/index.php?do4=document&amp;id4=b8764c8a-7818-4f56-960c-68c8ba5b3a66" TargetMode="External"/><Relationship Id="rId38" Type="http://schemas.openxmlformats.org/officeDocument/2006/relationships/hyperlink" Target="http://zakon.scli.ru/ru/legal_texts/act_municipal_education/extended/index.php?do4=document&amp;id4=b8764c8a-7818-4f56-960c-68c8ba5b3a66" TargetMode="External"/><Relationship Id="rId46" Type="http://schemas.openxmlformats.org/officeDocument/2006/relationships/hyperlink" Target="file:///E:\Users\&#1056;&#1119;&#1057;&#1026;&#1056;&#181;&#1056;&#1169;&#1056;&#1111;&#1057;&#1026;&#1056;&#1105;&#1056;&#1029;&#1056;&#1105;&#1056;&#1112;&#1056;&#176;&#1057;&#8218;&#1056;&#181;&#1056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80AACA6A06078EA1B78D031FC736D8898A9662FD0EEFB966924709D5FF1969017AB3FEB3D0S2G" TargetMode="External"/><Relationship Id="rId20" Type="http://schemas.openxmlformats.org/officeDocument/2006/relationships/hyperlink" Target="consultantplus://offline/ref=F215EC7D1E0BF8BDAD38BB4B5870ACD5AE26B916288D13E52CE966DB8B342C76317E7F2BD1CA242103C0FE5AB166r1H" TargetMode="External"/><Relationship Id="rId29" Type="http://schemas.openxmlformats.org/officeDocument/2006/relationships/hyperlink" Target="consultantplus://offline/ref=6782A1E5A31CD20F4728A6CF1896A0B84F91F2C33140C5D2A71DE0F8008E64FF12C3E25BE3DFFE7Dv0m8D" TargetMode="External"/><Relationship Id="rId41" Type="http://schemas.openxmlformats.org/officeDocument/2006/relationships/hyperlink" Target="consultantplus://offline/ref=6782A1E5A31CD20F4728A6CF1896A0B84F92F2CB384AC5D2A71DE0F8008E64FF12C3E25BE3DFFF7Av0m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80AACA6A06078EA1B78D031FC736D8898A9662FD0EEFB966924709D5FF1969017AB3FEB3D0SAG" TargetMode="External"/><Relationship Id="rId24" Type="http://schemas.openxmlformats.org/officeDocument/2006/relationships/hyperlink" Target="consultantplus://offline/ref=64FE442CEC0566736E906DA75A14C9967C9DA9AEF7799832A7538DFF149581EEC95300D9EAD0dAXBO" TargetMode="External"/><Relationship Id="rId32" Type="http://schemas.openxmlformats.org/officeDocument/2006/relationships/hyperlink" Target="file:///E:\content\act\02ff8a70-a9c8-4cfa-883a-bc0cd449060d.html" TargetMode="External"/><Relationship Id="rId37" Type="http://schemas.openxmlformats.org/officeDocument/2006/relationships/hyperlink" Target="http://zakon.scli.ru/ru/legal_texts/act_municipal_education/extended/index.php?do4=document&amp;id4=b8764c8a-7818-4f56-960c-68c8ba5b3a66" TargetMode="External"/><Relationship Id="rId40" Type="http://schemas.openxmlformats.org/officeDocument/2006/relationships/hyperlink" Target="http://zakon.scli.ru/ru/legal_texts/act_municipal_education/extended/index.php?do4=document&amp;id4=b8764c8a-7818-4f56-960c-68c8ba5b3a66" TargetMode="External"/><Relationship Id="rId45" Type="http://schemas.openxmlformats.org/officeDocument/2006/relationships/hyperlink" Target="consultantplus://offline/ref=6782A1E5A31CD20F4728A6CF1896A0B84F91FCCB3F40C5D2A71DE0F8008E64FF12C3E25BE3DFFF7Av0m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15EC7D1E0BF8BDAD38BB4B5870ACD5AE26B916288D13E52CE966DB8B342C76317E7F2BD1CA242103C0FE5AB166r1H" TargetMode="External"/><Relationship Id="rId23" Type="http://schemas.openxmlformats.org/officeDocument/2006/relationships/hyperlink" Target="consultantplus://offline/ref=64FE442CEC0566736E906DA75A14C9967C9DA9AEF7799832A7538DFF149581EEC95300D9EBD9dAXFO" TargetMode="External"/><Relationship Id="rId28" Type="http://schemas.openxmlformats.org/officeDocument/2006/relationships/hyperlink" Target="file:///C:\content\act\26a62071-4a49-45cb-93dd-72fd376fcbab.html" TargetMode="External"/><Relationship Id="rId36" Type="http://schemas.openxmlformats.org/officeDocument/2006/relationships/hyperlink" Target="http://zakon.scli.ru/ru/legal_texts/act_municipal_education/extended/index.php?do4=document&amp;id4=b8764c8a-7818-4f56-960c-68c8ba5b3a66" TargetMode="External"/><Relationship Id="rId49" Type="http://schemas.openxmlformats.org/officeDocument/2006/relationships/hyperlink" Target="file:///E:\Users\&#1056;&#1119;&#1057;&#1026;&#1056;&#181;&#1056;&#1169;&#1056;&#1111;&#1057;&#1026;&#1056;&#1105;&#1056;&#1029;&#1056;&#1105;&#1056;&#1112;&#1056;&#176;&#1057;&#8218;&#1056;&#181;&#1056;" TargetMode="External"/><Relationship Id="rId10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19" Type="http://schemas.openxmlformats.org/officeDocument/2006/relationships/hyperlink" Target="consultantplus://offline/ref=2780AACA6A06078EA1B78D031FC736D8898A9662FD0EEFB966924709D5FF1969017AB3FEB3D0SAG" TargetMode="External"/><Relationship Id="rId31" Type="http://schemas.openxmlformats.org/officeDocument/2006/relationships/hyperlink" Target="consultantplus://offline/ref=6782A1E5A31CD20F4728B8C20EFAFEB1479FABCF3F49CC87FC42BBA557876EA8558CBB19A7D2FE7B0889B3vEm2D" TargetMode="External"/><Relationship Id="rId44" Type="http://schemas.openxmlformats.org/officeDocument/2006/relationships/hyperlink" Target="file:///E:\Users\&#1056;&#1119;&#1057;&#1026;&#1056;&#181;&#1056;&#1169;&#1056;&#1111;&#1057;&#1026;&#1056;&#1105;&#1056;&#1029;&#1056;&#1105;&#1056;&#1112;&#1056;&#176;&#1057;&#8218;&#1056;&#181;&#1056;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780AACA6A06078EA1B78D031FC736D8898A9662FD0EEFB966924709D5FF1969017AB3FEB3D0SAG" TargetMode="External"/><Relationship Id="rId22" Type="http://schemas.openxmlformats.org/officeDocument/2006/relationships/hyperlink" Target="consultantplus://offline/ref=64FE442CEC0566736E906DA75A14C9967C9DA9AEF7799832A7538DFF149581EEC95300D9EADEdAX9O" TargetMode="External"/><Relationship Id="rId27" Type="http://schemas.openxmlformats.org/officeDocument/2006/relationships/hyperlink" Target="file:///C:\content\act\8f21b21c-a408-42c4-b9fe-a939b863c84a.html" TargetMode="External"/><Relationship Id="rId30" Type="http://schemas.openxmlformats.org/officeDocument/2006/relationships/hyperlink" Target="file:///E:\content\act\45004c75-5243-401b-8c73-766db0b42115.html" TargetMode="External"/><Relationship Id="rId35" Type="http://schemas.openxmlformats.org/officeDocument/2006/relationships/hyperlink" Target="http://zakon.scli.ru/ru/legal_texts/act_municipal_education/extended/index.php?do4=document&amp;id4=b8764c8a-7818-4f56-960c-68c8ba5b3a66" TargetMode="External"/><Relationship Id="rId43" Type="http://schemas.openxmlformats.org/officeDocument/2006/relationships/hyperlink" Target="consultantplus://offline/ref=6782A1E5A31CD20F4728A6CF1896A0B84F91FCCB3F40C5D2A71DE0F8008E64FF12C3E25BE3DFFF7Av0m0D" TargetMode="External"/><Relationship Id="rId48" Type="http://schemas.openxmlformats.org/officeDocument/2006/relationships/hyperlink" Target="consultantplus://offline/ref=6782A1E5A31CD20F4728A6CF1896A0B84F91FCCB3F40C5D2A71DE0F8008E64FF12C3E25BE3DFFF7Av0m0D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326F-85C7-4E0D-8608-9C6FA043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86</Pages>
  <Words>24719</Words>
  <Characters>140900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123</cp:revision>
  <cp:lastPrinted>2019-05-20T04:10:00Z</cp:lastPrinted>
  <dcterms:created xsi:type="dcterms:W3CDTF">2019-04-17T03:14:00Z</dcterms:created>
  <dcterms:modified xsi:type="dcterms:W3CDTF">2024-03-22T04:42:00Z</dcterms:modified>
</cp:coreProperties>
</file>